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EEG 2014 — Abnahme, Übertragung und Verteilung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Netzbetreiber müssen vorbehaltlich abweichender Vorgaben in einer aufgrund des § 91 Nummer 2 erlassenen Verordnung oder in § 13 des Energiewirtschaftsgesetzes den gesamten Strom aus erneuerbaren Energien oder aus Grubengas, der in einer Veräußerungsform nach § 21b Absatz 1 veräußert wird, unverzüglich vorrangig physikalisch abnehmen, übertragen und verteilen. Macht der Anlagenbetreiber einen Anspruch nach § 19 Absatz 1 Nummer 2 geltend, umfasst die Pflicht aus Satz 1 auch die kaufmännische Abnahme. Besteht eine flexible Netzanschlussvereinbarung nach § 8a, so beschränkt sich die Verpflichtung nach Satz 1 auf den Anteil des Stroms, der im Rahmen der vereinbarten maximalen Wirkleistungseinspeisung erzeugt wird.</w:t>
      </w:r>
    </w:p>
    <w:p>
      <w:r>
        <w:t xml:space="preserve">(2) Soweit Strom aus einer Anlage, die an das Netz des Anlagenbetreibers oder einer dritten Person, die nicht Netzbetreiber ist, angeschlossen ist, mittels kaufmännisch-bilanzieller Weitergabe in ein Netz angeboten wird, ist Absatz 1 entsprechend anzuwenden, und der Strom ist für die Zwecke dieses Gesetzes so zu behandeln, als wäre er in das Netz eingespeist worden.</w:t>
      </w:r>
    </w:p>
    <w:p>
      <w:r>
        <w:t xml:space="preserve">(3) Die Pflichten zur vorrangigen Abnahme, Übertragung und Verteilung treffen im Verhältnis zum aufnehmenden Netzbetreiber, der nicht Übertragungsnetzbetreiber ist,</w:t>
      </w:r>
    </w:p>
    <w:p>
      <w:pPr>
        <w:ind w:left="420"/>
      </w:pPr>
      <w:r>
        <w:t xml:space="preserve">1. den vorgelagerten Übertragungsnetzbetreiber,</w:t>
      </w:r>
    </w:p>
    <w:p>
      <w:pPr>
        <w:ind w:left="420"/>
      </w:pPr>
      <w:r>
        <w:t xml:space="preserve">2. den nächstgelegenen inländischen Übertragungsnetzbetreiber, wenn im Netzbereich des abgabeberechtigten Netzbetreibers kein inländisches Übertragungsnetz betrieben wird, oder</w:t>
      </w:r>
    </w:p>
    <w:p>
      <w:pPr>
        <w:ind w:left="420"/>
      </w:pPr>
      <w:r>
        <w:t xml:space="preserve">3. insbesondere im Fall der Weitergabe nach Absatz 2 jeden sonstigen Netzbetreiber.</w:t>
      </w:r>
    </w:p>
    <w:p>
      <w:r>
        <w:rPr>
          <w:color w:val="555555"/>
          <w:sz w:val="17"/>
        </w:rPr>
        <w:t xml:space="preserve">Zitiervorschlag: § 11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