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10b EEG 2014 — Vorgaben zur Direktvermarktung</w:t>
      </w:r>
    </w:p>
    <w:p>
      <w:r>
        <w:rPr>
          <w:color w:val="555555"/>
          <w:sz w:val="18"/>
        </w:rPr>
        <w:t xml:space="preserve">Erneuerbare-Energien-Gesetz</w:t>
      </w:r>
    </w:p>
    <w:p>
      <w:r>
        <w:rPr>
          <w:color w:val="555555"/>
          <w:sz w:val="18"/>
        </w:rPr>
        <w:t xml:space="preserve">Stand: 23.12.2025 (konsolidierte Textfassung, kein amtliches Inkrafttretensdatum)</w:t>
      </w:r>
    </w:p>
    <w:p>
      <w:r>
        <w:t xml:space="preserve">(1) Betreiber von Anlagen mit einer installierten Leistung von mehr als 25 Kilowatt, die den in ihren Anlagen erzeugten Strom direkt vermarkten, müssen</w:t>
      </w:r>
    </w:p>
    <w:p>
      <w:pPr>
        <w:ind w:left="420"/>
      </w:pPr>
      <w:r>
        <w:t xml:space="preserve">1. ihre Anlagen mit technischen Einrichtungen ausstatten, über die das Direktvermarktungsunternehmen oder die andere Person, an die der Strom veräußert wird, jederzeit</w:t>
      </w:r>
    </w:p>
    <w:p>
      <w:pPr>
        <w:ind w:left="780"/>
      </w:pPr>
      <w:r>
        <w:t xml:space="preserve">a) die Ist-Einspeisung abrufen kann und</w:t>
      </w:r>
    </w:p>
    <w:p>
      <w:pPr>
        <w:ind w:left="780"/>
      </w:pPr>
      <w:r>
        <w:t xml:space="preserve">b) die Einspeiseleistung vollständig oder, sobald jeweils die technische Möglichkeit besteht, stufenweise oder, stufenlos ferngesteuert regeln kann, und</w:t>
      </w:r>
    </w:p>
    <w:p>
      <w:pPr>
        <w:ind w:left="420"/>
      </w:pPr>
      <w:r>
        <w:t xml:space="preserve">2. dem Direktvermarktungsunternehmen oder der anderen Person, an die der Strom veräußert wird, die Befugnis einräumen, jederzeit</w:t>
      </w:r>
    </w:p>
    <w:p>
      <w:pPr>
        <w:ind w:left="780"/>
      </w:pPr>
      <w:r>
        <w:t xml:space="preserve">a) die Ist-Einspeisung abzurufen und</w:t>
      </w:r>
    </w:p>
    <w:p>
      <w:pPr>
        <w:ind w:left="780"/>
      </w:pPr>
      <w:r>
        <w:t xml:space="preserve">b) die Einspeiseleistung ferngesteuert in einem Umfang zu regeln, der für eine bedarfsgerechte Einspeisung des Stroms erforderlich und nicht nach den genehmigungsrechtlichen Vorgaben nachweislich ausgeschlossen ist.</w:t>
      </w:r>
    </w:p>
    <w:p>
      <w:r>
        <w:t xml:space="preserve">Die Pflicht nach Satz 1 Nummer 1 gilt auch als erfüllt, wenn mehrere Anlagen, die über denselben Verknüpfungspunkt mit dem Netz verbunden sind, mit einer gemeinsamen technischen Einrichtung ausgestattet sind, mit der der Direktvermarktungsunternehmer oder die andere Person jederzeit die Pflicht nach Satz 1 Nummer 1 für die Gesamtheit der Anlagen erfüllen kann. Wird der Strom vom Anlagenbetreiber unmittelbar an einen Letztverbraucher oder unmittelbar an einer Strombörse veräußert, sind die Sätze 1 und 2 entsprechend anzuwenden mit der Maßgabe, dass der Anlagenbetreiber die Befugnisse des Direktvermarktungsunternehmers oder der anderen Person wahrnimmt. Die Pflicht nach Satz 1 muss nicht vor dem Beginn des zweiten auf die erstmalige Einspeisung der Anlage folgenden Kalendermonats und nicht vor dem Beginn des zweiten auf die Meldung des Direktvermarktungsunternehmens an den Netzbetreiber zur Übernahme der Vermarktung folgenden Kalendermonats erfüllt werden. § 9 Absatz 3 ist zur Ermittlung der installierten Leistung entsprechend anzuwenden.</w:t>
      </w:r>
    </w:p>
    <w:p>
      <w:r>
        <w:t xml:space="preserve">(2) Die Pflicht nach Absatz 1 muss ab dem 1. Januar 2028 und ab Einbau eines intelligenten Messsystems über das Smart-Meter-Gateway nach § 2 Nummer 19 des Messstellenbetriebsgesetzes erfüllt werden. Sofern die Pflicht nach Absatz 1 nicht über das Smart-Meter-Gateway erfüllt wird, müssen die Anlagenbetreiber Übertragungstechniken und Übertragungswege zur Abrufung der Ist-Einspeisung und zur ferngesteuerten Regelung der Einspeiseleistung verwenden, die dem Stand der Technik bei Inbetriebnahme der Anlage entsprechen und wirtschaftlich vertretbar sind. Die Einhaltung des Stands der Technik wird widerleglich vermutet, wenn die einschlägigen Standards und Empfehlungen des Bundesamtes für Sicherheit in der Informationstechnik berücksichtigt werden.</w:t>
      </w:r>
    </w:p>
    <w:p>
      <w:r>
        <w:t xml:space="preserve">(3) Die Nutzung der technischen Einrichtungen zur Abrufung der Ist-Einspeisung und zur ferngesteuerten Regelung der Einspeiseleistung sowie die Befugnis, diese zu nutzen, dürfen das Recht des Netzbetreibers zu Maßnahmen nach § 13 Absatz 1 und 2 des Energiewirtschaftsgesetzes nicht beschränken.</w:t>
      </w:r>
    </w:p>
    <w:p>
      <w:r>
        <w:t xml:space="preserve">(4) Regelungen zur Weitverkehrsnetzanbindung von Anlagen in einer nach § 19 Absatz 2 Satz 3 und 4 des Messstellenbetriebsgesetzes erlassenen Verordnung sind unabhängig von den Vorgaben nach den Absätzen 1 bis 3 anzuwenden und lassen die sich hieraus ergebenden Pflichten unberührt.</w:t>
      </w:r>
    </w:p>
    <w:p>
      <w:r>
        <w:t xml:space="preserve">(5) Die Netzbetreiber stimmen untereinander bis zum Ablauf des 1. März 2026 einheitliche, für Anlagenbetreiber und Direktvermarktungsunternehmen einfach umsetzbare Nachweise ab, die sie zur Überprüfung der in diesem Paragraphen genannten Pflichten heranziehen. Sie stellen dabei die Massengeschäftstauglichkeit der Nachweisführung sicher. Soweit die Bundesnetzagentur eine Festlegung nach § 85 Absatz 2 Nummer 2 getroffen hat, müssen Netzbetreiber, Direktvermarktungsunternehmen und Anlagenbetreiber für die Nachweisführung das festgelegte Verfahren und Format nutzen.</w:t>
      </w:r>
    </w:p>
    <w:p>
      <w:r>
        <w:t xml:space="preserve">(6) Das Direktvermarktungsunternehmen ist verpflichtet,</w:t>
      </w:r>
    </w:p>
    <w:p>
      <w:pPr>
        <w:ind w:left="420"/>
      </w:pPr>
      <w:r>
        <w:t xml:space="preserve">1. den Anlagenbetreiber bei einem Verstoß gegen die Pflichten nach diesem Paragraphen zur unverzüglichen Einhaltung aufzufordern und</w:t>
      </w:r>
    </w:p>
    <w:p>
      <w:pPr>
        <w:ind w:left="420"/>
      </w:pPr>
      <w:r>
        <w:t xml:space="preserve">2. dem Netzbetreiber mitzuteilen, wenn der Anlagenbetreiber der Aufforderung nach Nummer 1 nicht binnen vier Wochen nachgekommen ist.</w:t>
      </w:r>
    </w:p>
    <w:p>
      <w:r>
        <w:rPr>
          <w:color w:val="555555"/>
          <w:sz w:val="17"/>
        </w:rPr>
        <w:t xml:space="preserve">Zitiervorschlag: § 10b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