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EEG 2014 — Anschlussförderung für Grubengas</w:t>
      </w:r>
    </w:p>
    <w:p>
      <w:r>
        <w:rPr>
          <w:color w:val="555555"/>
          <w:sz w:val="18"/>
        </w:rPr>
        <w:t xml:space="preserve">Erneuerbare-Energien-Gesetz</w:t>
      </w:r>
    </w:p>
    <w:p>
      <w:r>
        <w:rPr>
          <w:color w:val="555555"/>
          <w:sz w:val="18"/>
        </w:rPr>
        <w:t xml:space="preserve">Außer Kraft: § 102 ist seit 01.01.2023 nicht mehr im EEG 2014 enthalten. Angezeigt wird die letzte bekannte Fassung, Stand 19.10.2021.</w:t>
      </w:r>
    </w:p>
    <w:p>
      <w:r>
        <w:t xml:space="preserve">(1) Für Anlagen zur Erzeugung von Strom aus Grubengas, die vor dem 1. Januar 2004 in Betrieb genommen worden sind, verlängert sich der Anspruch auf Zahlung nach dem Ende des ursprünglichen Anspruchs auf Zahlung, das in der Fassung des Erneuerbare-Energien-Gesetzes festgelegt ist, das bei Inbetriebnahme der Anlage anzuwenden war, einmalig bis zum 31. Dezember 2024. Der anzulegende Wert der Anschlussförderung nach Satz 1 entspricht</w:t>
      </w:r>
    </w:p>
    <w:p>
      <w:pPr>
        <w:ind w:left="420"/>
      </w:pPr>
      <w:r>
        <w:t xml:space="preserve">1. im Kalenderjahr 2021 dem anzulegenden Wert für den in der jeweiligen Anlage erzeugten Strom in Cent pro Kilowattstunde nach dem Erneuerbare-Energien-Gesetz in der für die Anlage bisher maßgeblichen Fassung,</w:t>
      </w:r>
    </w:p>
    <w:p>
      <w:pPr>
        <w:ind w:left="420"/>
      </w:pPr>
      <w:r>
        <w:t xml:space="preserve">2. im Kalenderjahr 2022 95 Prozent des anzulegenden Werts für den in der jeweiligen Anlage erzeugten Strom in Cent pro Kilowattstunde nach dem Erneuerbare-Energien-Gesetz in der für die Anlage bisher maßgeblichen Fassung,</w:t>
      </w:r>
    </w:p>
    <w:p>
      <w:pPr>
        <w:ind w:left="420"/>
      </w:pPr>
      <w:r>
        <w:t xml:space="preserve">3. im Kalenderjahr 2023 90 Prozent des anzulegenden Werts für den in der jeweiligen Anlage erzeugten Strom in Cent pro Kilowattstunde nach dem Erneuerbare-Energien-Gesetz in der für die Anlage bisher maßgeblichen Fassung und</w:t>
      </w:r>
    </w:p>
    <w:p>
      <w:pPr>
        <w:ind w:left="420"/>
      </w:pPr>
      <w:r>
        <w:t xml:space="preserve">4. im Kalenderjahr 2024 85 Prozent des anzulegenden Werts für den in der jeweiligen Anlage erzeugten Strom in Cent pro Kilowattstunde nach dem Erneuerbare-Energien-Gesetz in der für die Anlage bisher maßgeblichen Fassung.</w:t>
      </w:r>
    </w:p>
    <w:p>
      <w:r>
        <w:t xml:space="preserve">Der sich nach Satz 2 ergebende Wert wird auf zwei Stellen nach dem Komma gerundet.</w:t>
      </w:r>
    </w:p>
    <w:p>
      <w:r>
        <w:t xml:space="preserve">(2) Der Anspruch auf Zahlung besteht in dem nach Absatz 1 verlängerten Zeitraum nur, wenn das Grubengas aus Bergwerken des aktiven oder stillgelegten Bergbaus stammt.</w:t>
      </w:r>
    </w:p>
    <w:p>
      <w:r>
        <w:rPr>
          <w:color w:val="555555"/>
          <w:sz w:val="17"/>
        </w:rPr>
        <w:t xml:space="preserve">Zitiervorschlag: § 102 EEG 2014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