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EEG 2014 — Beihilferechtlicher Genehmigungsvorbehalt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Bestimmungen von § 19 Absatz 3c, § 22 Absatz 3 Satz 2, § 28b Absatz 2, § 30 Absatz 2, § 36h Absatz 3 Satz 2 und 3, § 37 Absatz 3, § 37b Absatz 2, § 37d, § 38a Absatz 1 Nummer 5, § 38h Satz 2, § 46 Absatz 3, § 48 Absatz 1b, 2 und 4 Satz 2, § 85a Absatz 1 Satz 2 und § 100 Absatz 35 und 47 dürfen erst nach der beihilferechtlichen Genehmigung durch die Europäische Kommission und nur nach Maßgabe dieser Genehmigung angewandt werden. Bis zu dieser Genehmigung sind § 22 Absatz 3 Satz 2, § 28b Absatz 2, § 30 Absatz 2, § 37 Absatz 3, § 38a Absatz 1 Nummer 5, § 38b Absatz 1 Satz 2 und 3, § 46 Absatz 3, § 48 Absatz 2 und 4 Satz 2 sowie § 85a Absatz 1 Satz 2 in der am 15. Mai 2024 geltenden Fassung anzuwenden.</w:t>
      </w:r>
    </w:p>
    <w:p>
      <w:r>
        <w:t xml:space="preserve">(2) Die Bestimmungen von § 28c Absatz 1, der §§ 39d, 39g Absatz 1 Satz 1, Absatz 2 Satz 2 und 4, Absatz 3 Satz 2, Absatz 4 und 5 Nummer 1 und 2, von § 39h Absatz 3 Satz 1, § 39i Absatz 2 Satz 1 und 2, Absatz 2a, § 44b Absatz 1 Satz 3, § 50a Absatz 1 Satz 1, Absatz 2 und § 51b dürfen erst nach der beihilferechtlichen Genehmigung durch die Europäische Kommission und nur nach Maßgabe dieser Genehmigung angewandt werden. Bis zu dieser Genehmigung sind § 28c Absatz 1, die §§ 39d, 39g Absatz 1 Satz 1, Absatz 2 Satz 2 und 4, Absatz 3 Satz 2, Absatz 4 und 5 Nummer 1 und 2, § 39h Absatz 3 Satz 1, § 39i Absatz 2 Satz 1 und 2, § 44b Absatz 1 Satz 3 und § 50a Absatz 1 Satz 1 und Absatz 2 in der am 24. Februar 2025 geltenden Fassung anzuwenden.</w:t>
      </w:r>
    </w:p>
    <w:p>
      <w:r>
        <w:rPr>
          <w:color w:val="555555"/>
          <w:sz w:val="17"/>
        </w:rPr>
        <w:t xml:space="preserve">Zitiervorschlag: § 101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https://recht.nulegal.eu/gesetze/EEG%202014/101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