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EDL-G — Energieeinsparziele</w:t>
      </w:r>
    </w:p>
    <w:p>
      <w:r>
        <w:rPr>
          <w:color w:val="555555"/>
          <w:sz w:val="18"/>
        </w:rPr>
        <w:t xml:space="preserve">Gesetz über Energiedienstleistungen und andere Energieeffizienzmaßnahmen</w:t>
      </w:r>
    </w:p>
    <w:p>
      <w:r>
        <w:rPr>
          <w:color w:val="555555"/>
          <w:sz w:val="18"/>
        </w:rPr>
        <w:t xml:space="preserve">Stand: 06.11.2020 (konsolidierte Textfassung, kein amtliches Inkrafttretensdatum)</w:t>
      </w:r>
    </w:p>
    <w:p>
      <w:r>
        <w:t xml:space="preserve">(1) Ziel der Maßnahmen nach diesem Gesetz ist es, die Effizienz der Energienutzung durch Endkunden in Deutschland mit Energiedienstleistungen und anderen Energieeffizienzmaßnahmen kostenwirksam zu steigern. Dazu legt die Bundesregierung Energieeinsparrichtwerte fest, die als Energieeinsparziel bis zum Mai des Jahres 2017 erreicht werden sollen, sowie eine Strategie zur Erreichung dieser Ziele. Die Berechnung des Richtwerts erfolgt nach den Anhängen I, II und IV der Richtlinie 2006/32/EG des Europäischen Parlaments und des Rates vom 5. April 2006 über Endenergieeffizienz und Energiedienstleistungen und zur Aufhebung der Richtlinie 93/76/EWG des Rates (ABl. L 114 vom 27.4.2006, S. 64).</w:t>
      </w:r>
    </w:p>
    <w:p>
      <w:r>
        <w:t xml:space="preserve">(2) Die Energieeinsparrichtwerte sollen durch wirtschaftliche und angemessene Maßnahmen erreicht werden. Maßnahmen sind wirtschaftlich, wenn generell die erforderlichen Aufwendungen innerhalb der üblichen Nutzungsdauer durch die eintretenden Einsparungen erwirtschaftet werden können. Bei Maßnahmen im Bestand ist die noch zu erwartende Nutzungsdauer zu berücksichtigen. Zur Erreichung der Energieeinsparrichtwerte sollen insbesondere:</w:t>
      </w:r>
    </w:p>
    <w:p>
      <w:pPr>
        <w:ind w:left="420"/>
      </w:pPr>
      <w:r>
        <w:t xml:space="preserve">1. die erforderlichen Energieeffizienzmechanismen, Anreize und institutionellen, finanziellen und rechtlichen Rahmenbedingungen geschaffen sowie Markthemmnisse beseitigt werden, die der effizienten Energienutzung durch Endkunden entgegenstehen;</w:t>
      </w:r>
    </w:p>
    <w:p>
      <w:pPr>
        <w:ind w:left="420"/>
      </w:pPr>
      <w:r>
        <w:t xml:space="preserve">2. die Voraussetzungen für die Entwicklung und Förderung eines Marktes für Energiedienstleistungen und für die Erbringung von anderen Energieeffizienzmaßnahmen für die Endkunden geschaffen werden.</w:t>
      </w:r>
    </w:p>
    <w:p>
      <w:r>
        <w:t xml:space="preserve">(3) Der öffentlichen Hand kommt bei der Energieeffizienzverbesserung eine Vorbildfunktion zu. Hierzu nimmt die öffentliche Hand Energiedienstleistungen in Anspruch und führt andere Energieeffizienzmaßnahmen durch, deren Schwerpunkt in besonderer Weise auf wirtschaftlichen Maßnahmen liegt, die zu nachhaltigen Energieeinsparungen führen. Die öffentliche Hand wird insbesondere bei ihren Baumaßnahmen unter Beachtung der Wirtschaftlichkeit nicht unwesentlich über die Anforderungen zur Energieeffizienz im Gebäudeenergiegesetz vom 8. August 2020 (BGBl. I S. 1728) in der jeweils geltenden Fassung hinausgehen. Über Maßnahmen nach den Sätzen 2 und 3 ist die Öffentlichkeit zu unterrichten.</w:t>
      </w:r>
    </w:p>
    <w:p>
      <w:r>
        <w:t xml:space="preserve">(4) Die Bundesregierung legt dem Deutschen Bundestag bis zum 30. April 2017 und bis zum 30. April 2020 jeweils einen Energieeffizienz-Aktionsplan im Sinne von Artikel 24 Absatz 2 der Richtlinie 2012/27/EU des Europäischen Parlaments und des Rates vom 25. Oktober 2012 zur Energieeffizienz, zur Änderung der Richtlinien 2009/125/EG und 2010/30/EU und zur Aufhebung der Richtlinien 2004/8/EG und 2006/32/EG (ABl. L 315 vom 14.11.2012, S. 1), die zuletzt durch die Richtlinie 2013/12/EU (ABl. L 141 vom 28.5.2013, S. 28) geändert worden ist, vor.</w:t>
      </w:r>
    </w:p>
    <w:p>
      <w:r>
        <w:rPr>
          <w:color w:val="555555"/>
          <w:sz w:val="17"/>
        </w:rPr>
        <w:t xml:space="preserve">Zitiervorschlag: § 3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