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EComKflAusbV — Gegenstand der Berufsausbildung und Ausbildungsrahmenplan</w:t>
      </w:r>
    </w:p>
    <w:p>
      <w:r>
        <w:rPr>
          <w:color w:val="555555"/>
          <w:sz w:val="18"/>
        </w:rPr>
        <w:t xml:space="preserve">E-Commerce-Kaufleute-Ausbildungsverordnung</w:t>
      </w:r>
    </w:p>
    <w:p>
      <w:r>
        <w:rPr>
          <w:color w:val="555555"/>
          <w:sz w:val="18"/>
        </w:rPr>
        <w:t xml:space="preserve">Stand: 10.06.2019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EComKflAusbV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https://recht.nulegal.eu/gesetze/EComKflAusbV/3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