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EComKflAusbV — Prüfungsbereich Kundenkommunikation im E-Commerce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Kundenkommunikation im E-Commerce soll der Prüfling nachweisen, dass er in der Lage ist,</w:t>
      </w:r>
    </w:p>
    <w:p>
      <w:pPr>
        <w:ind w:left="420"/>
      </w:pPr>
      <w:r>
        <w:t xml:space="preserve">1. Kundenanliegen lösungsorientiert zu bearbeiten,</w:t>
      </w:r>
    </w:p>
    <w:p>
      <w:pPr>
        <w:ind w:left="420"/>
      </w:pPr>
      <w:r>
        <w:t xml:space="preserve">2. bei der Vertragserfüllung entstehende Störungen zu bearbeiten,</w:t>
      </w:r>
    </w:p>
    <w:p>
      <w:pPr>
        <w:ind w:left="420"/>
      </w:pPr>
      <w:r>
        <w:t xml:space="preserve">3. Rückabwicklungsprozesse zu organisieren,</w:t>
      </w:r>
    </w:p>
    <w:p>
      <w:pPr>
        <w:ind w:left="420"/>
      </w:pPr>
      <w:r>
        <w:t xml:space="preserve">4. Kommunikationskanäle auszuwählen und zu steuern,</w:t>
      </w:r>
    </w:p>
    <w:p>
      <w:pPr>
        <w:ind w:left="420"/>
      </w:pPr>
      <w:r>
        <w:t xml:space="preserve">5. Schnittstellen von Kommunikationskanälen zu berücksichtigen,</w:t>
      </w:r>
    </w:p>
    <w:p>
      <w:pPr>
        <w:ind w:left="420"/>
      </w:pPr>
      <w:r>
        <w:t xml:space="preserve">6. Kommunikation mit Kunden und Kundinnen zielgruppenorientiert und situationsgerecht zu gestalten, auszuwerten und zu optimieren und</w:t>
      </w:r>
    </w:p>
    <w:p>
      <w:pPr>
        <w:ind w:left="420"/>
      </w:pPr>
      <w:r>
        <w:t xml:space="preserve">7. rechtliche Regelungen bei der Kundenkommunikation im E-Commerce einzuhalten.</w:t>
      </w:r>
    </w:p>
    <w:p>
      <w:r>
        <w:t xml:space="preserve">(2) Die Prüfungsaufgaben sollen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12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