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EComFPrV — Bestandteile der Prüfung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schriftlichen Prüfungsteil nach § 10 und</w:t>
      </w:r>
    </w:p>
    <w:p>
      <w:pPr>
        <w:ind w:left="420"/>
      </w:pPr>
      <w:r>
        <w:t xml:space="preserve">2. einem mündlichen Prüfungsteil nach § 11.</w:t>
      </w:r>
    </w:p>
    <w:p>
      <w:r>
        <w:rPr>
          <w:color w:val="555555"/>
          <w:sz w:val="17"/>
        </w:rPr>
        <w:t xml:space="preserve">Zitiervorschlag: § 9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