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EComFPrV — Handlungsbereiche</w:t>
      </w:r>
    </w:p>
    <w:p>
      <w:r>
        <w:rPr>
          <w:color w:val="555555"/>
          <w:sz w:val="18"/>
        </w:rPr>
        <w:t xml:space="preserve">E-Commerce-Fortbildungsprüfungsverordnung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Die Prüfung erstreckt sich auf die folgenden Handlungsbereiche:</w:t>
      </w:r>
    </w:p>
    <w:p>
      <w:pPr>
        <w:ind w:left="420"/>
      </w:pPr>
      <w:r>
        <w:t xml:space="preserve">1. Entwickeln von Strategien für den E-Commerce nach § 5,</w:t>
      </w:r>
    </w:p>
    <w:p>
      <w:pPr>
        <w:ind w:left="420"/>
      </w:pPr>
      <w:r>
        <w:t xml:space="preserve">2. Gestalten von Prozessen im E-Commerce nach § 6,</w:t>
      </w:r>
    </w:p>
    <w:p>
      <w:pPr>
        <w:ind w:left="420"/>
      </w:pPr>
      <w:r>
        <w:t xml:space="preserve">3. Analysieren und Weiterentwickeln von Prozessen im E-Commerce nach § 7 sowie</w:t>
      </w:r>
    </w:p>
    <w:p>
      <w:pPr>
        <w:ind w:left="420"/>
      </w:pPr>
      <w:r>
        <w:t xml:space="preserve">4. Sicherstellen der Kommunikation und Zusammenarbeit mit internen und externen Partnern sowie Führen von internen und externen Partnern nach § 8.</w:t>
      </w:r>
    </w:p>
    <w:p>
      <w:r>
        <w:rPr>
          <w:color w:val="555555"/>
          <w:sz w:val="17"/>
        </w:rPr>
        <w:t xml:space="preserve">Zitiervorschlag: § 4 EComFPrV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https://recht.nulegal.eu/gesetze/EComFPrV/4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