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EComFPrV — Voraussetzung für die Zulassung zur Prüfung</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Zur Prüfung ist zuzulassen, wer Folgendes nachweist:</w:t>
      </w:r>
    </w:p>
    <w:p>
      <w:pPr>
        <w:ind w:left="420"/>
      </w:pPr>
      <w:r>
        <w:t xml:space="preserve">1. eine erfolgreich abgelegte Abschlussprüfung in einem anerkannten kaufmännisch-verwaltenden dreijährigen Ausbildungsberuf und eine auf die Berufsausbildung folgende mindestens einjährige Berufspraxis,</w:t>
      </w:r>
    </w:p>
    <w:p>
      <w:pPr>
        <w:ind w:left="420"/>
      </w:pPr>
      <w:r>
        <w:t xml:space="preserve">2. eine erfolgreich abgelegte Abschlussprüfung in einem anderen anerkannten Ausbildungsberuf und eine auf die Berufsausbildung folgende mindestens zweijährige Berufspraxis,</w:t>
      </w:r>
    </w:p>
    <w:p>
      <w:pPr>
        <w:ind w:left="420"/>
      </w:pPr>
      <w:r>
        <w:t xml:space="preserve">3. den Erwerb von mindestens 90 ECTS-Punkten in einem betriebswirtschaftlichen Studium und eine mindestens zweijährige Berufspraxis oder</w:t>
      </w:r>
    </w:p>
    <w:p>
      <w:pPr>
        <w:ind w:left="420"/>
      </w:pPr>
      <w:r>
        <w:t xml:space="preserve">4. eine mindestens fünfjährige Berufspraxis.</w:t>
      </w:r>
    </w:p>
    <w:p>
      <w:r>
        <w:t xml:space="preserve">(2) Die Berufspraxis nach Absatz 1 soll wesentliche Bezüge zu den Aufgaben eines „Geprüften Fachwirts im E-Commerce“ oder einer „Geprüften Fachwirtin im E-Commerce“ nach § 2 Absatz 3 aufweisen.</w:t>
      </w:r>
    </w:p>
    <w:p>
      <w:r>
        <w:t xml:space="preserve">(3)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3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