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EComFPrV — Ausbildereignung</w:t>
      </w:r>
    </w:p>
    <w:p>
      <w:r>
        <w:rPr>
          <w:color w:val="555555"/>
          <w:sz w:val="18"/>
        </w:rPr>
        <w:t xml:space="preserve">E-Commerce-Fortbildungsprüfungsverordnung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Wer die Prüfung nach dieser Verordnung bestanden hat, ist vom schriftlichen Prüfungsteil der Prüfung der nach dem Berufsbildungsgesetz erlassenen Ausbilder-Eignungsverordnung befreit.</w:t>
      </w:r>
    </w:p>
    <w:p>
      <w:r>
        <w:rPr>
          <w:color w:val="555555"/>
          <w:sz w:val="17"/>
        </w:rPr>
        <w:t xml:space="preserve">Zitiervorschlag: § 17 EComFPrV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https://recht.nulegal.eu/gesetze/EComFPrV/17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