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EComFPrV — Zeugnisse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Wer die Prüfung nach § 14 Absatz 1 bestanden hat, erhält von der zuständigen Stelle zwei Zeugnisse nach Anlage 2 Teil A und B.</w:t>
      </w:r>
    </w:p>
    <w:p>
      <w:r>
        <w:t xml:space="preserve">(2) Auf dem Zeugnis mit den Inhalten nach Anlage 2 Teil B ist die Gesamtnote als Dezimalzahl mit einer Nachkommastelle und in Worten anzugeben. Jede Befreiung nach § 12 ist mit Ort, Datum und Bezeichnung des Prüfungsgremiums der anderweitig abgelegten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15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