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EComFPrV — Befreiung von einzelnen Prüfungsbestandteilen</w:t>
      </w:r>
    </w:p>
    <w:p>
      <w:r>
        <w:rPr>
          <w:color w:val="555555"/>
          <w:sz w:val="18"/>
        </w:rPr>
        <w:t xml:space="preserve">E-Commerce-Fortbildungsprüfungsverordnung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13 und 14 außer Betracht. Für die übrigen Prüfungsbestandteile erhöhen sich die Anteile nach § 13 Absatz 2 Satz 2 oder Absatz 3 Satz 1 oder § 14 Absatz 3 Satz 2 entsprechend ihrem Verhältnis zueinander. Allein diese Prüfungsbestandteile sind den Entscheidungen des Prüfungsausschusses zu Grunde zu legen.</w:t>
      </w:r>
    </w:p>
    <w:p>
      <w:r>
        <w:rPr>
          <w:color w:val="555555"/>
          <w:sz w:val="17"/>
        </w:rPr>
        <w:t xml:space="preserve">Zitiervorschlag: § 12 EComFPrV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https://recht.nulegal.eu/gesetze/EComFPrV/12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