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ECTS-VO (Nordrhein-Westfalen) — Inkrafttreten, Außerkrafttreten</w:t>
      </w:r>
    </w:p>
    <w:p>
      <w:r>
        <w:rPr>
          <w:color w:val="555555"/>
          <w:sz w:val="18"/>
        </w:rPr>
        <w:t xml:space="preserve">ECTS-Statistikverordnung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Januar 2021 in Kraft.</w:t>
      </w:r>
    </w:p>
    <w:p>
      <w:r>
        <w:t xml:space="preserve">(2) Die Verordnung tritt zum 1. Januar 2028 außer Kraft.</w:t>
      </w:r>
    </w:p>
    <w:p>
      <w:r>
        <w:t xml:space="preserve">Die Ministerin</w:t>
      </w:r>
    </w:p>
    <w:p>
      <w:r>
        <w:t xml:space="preserve">für Kultur und Wissenschaft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ECTS-VO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https://recht.nulegal.eu/gesetze/ECTS-VO/4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