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ECTS-VO (Nordrhein-Westfalen) — Inhalte und Ziel der Statistik</w:t>
      </w:r>
    </w:p>
    <w:p>
      <w:r>
        <w:rPr>
          <w:color w:val="555555"/>
          <w:sz w:val="18"/>
        </w:rPr>
        <w:t xml:space="preserve">ECTS-Statistikverordnung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Europäische System zur Übertragung und Akkumulierung von Studienleistungen (ECTS) ist ein Instrument, das der Gliederung des Hochschulstudiums dient und die Gewichtung seiner Bestandteile transparent macht. Die Hochschulen des Landes Nordrhein-Westfalen im Sinne des § 1 des Hochschulgesetzes vom 16. September 2014 (GV. NRW. S. 547), das zuletzt durch Artikel 1 des Gesetzes vom 1. Dezember 2020 (GV. NRW. S. 1110) geändert worden ist, erheben Daten zum Studienerfolg und Studienverlauf ihrer Studierenden. Die auf ECTS- und Leistungspunkte bezogenen Informationen übermitteln die Hochschulen dem für die Hochschulen zuständigen Ministerium jährlich in hochaggregierter Form als ECTS-Statistik. Die ECTS-Statistik hat zum Ziel, die Qualität der Hochschulbildung zu sichern und zu optimieren. Die ECTS-Statistik besteht aus Soll- und Ist-Anteilen, die sich nach Lehreinheiten und Abschlussarten (Bachelor, Master und Staatsexamen) unterscheiden.</w:t>
      </w:r>
    </w:p>
    <w:p>
      <w:r>
        <w:rPr>
          <w:color w:val="555555"/>
          <w:sz w:val="17"/>
        </w:rPr>
        <w:t xml:space="preserve">Zitiervorschlag: § 1 ECTS-VO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https://recht.nulegal.eu/gesetze/ECTS-VO/1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