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EBewMG — Datenkategorien bei ausgehenden Anordnungen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(1) Als Teilnehmerdaten im Sinne von Artikel 3 Nummer 9 der Verordnung (EU) 2023/1543 in der Fassung vom 12. Juli 2023 gelten insbesondere</w:t>
      </w:r>
    </w:p>
    <w:p>
      <w:pPr>
        <w:ind w:left="420"/>
      </w:pPr>
      <w:r>
        <w:t xml:space="preserve">1. Bestandsdaten gemäß § 3 Nummer 6 und Daten nach § 172 des Telekommunikationsgesetzes,</w:t>
      </w:r>
    </w:p>
    <w:p>
      <w:pPr>
        <w:ind w:left="420"/>
      </w:pPr>
      <w:r>
        <w:t xml:space="preserve">2. Bestandsdaten gemäß § 2 Absatz 2 Nummer 2 des Telekommunikation-Digitale-Dienste-Datenschutz-Gesetzes.</w:t>
      </w:r>
    </w:p>
    <w:p>
      <w:r>
        <w:t xml:space="preserve">(2) Als Daten, die ausschließlich zum Zweck der Identifizierung des Nutzers angefordert werden, im Sinne von Artikel 3 Nummer 10 der Verordnung (EU) 2023/1543 in der Fassung vom 12. Juli 2023 gelten insbesondere Nutzungsdaten gemäß § 2 Absatz 2 Nummer 3 Buchstabe a des Telekommunikation-Digitale-Dienste-Datenschutz-Gesetzes.</w:t>
      </w:r>
    </w:p>
    <w:p>
      <w:r>
        <w:t xml:space="preserve">(3) Als Verkehrsdaten im Sinne von Artikel 3 Nummer 11 der Verordnung (EU) 2023/1543 in der Fassung vom 12. Juli 2023 gelten insbesondere</w:t>
      </w:r>
    </w:p>
    <w:p>
      <w:pPr>
        <w:ind w:left="420"/>
      </w:pPr>
      <w:r>
        <w:t xml:space="preserve">1. Verkehrsdaten gemäß § 3 Nummer 70 des Telekommunikationsgesetzes,</w:t>
      </w:r>
    </w:p>
    <w:p>
      <w:pPr>
        <w:ind w:left="420"/>
      </w:pPr>
      <w:r>
        <w:t xml:space="preserve">2. Nutzungsdaten gemäß § 2 Absatz 2 Nummer 3 Buchstabe b und c des Telekommunikation-Digitale-Dienste-Datenschutz-Gesetzes.</w:t>
      </w:r>
    </w:p>
    <w:p>
      <w:r>
        <w:rPr>
          <w:color w:val="555555"/>
          <w:sz w:val="17"/>
        </w:rPr>
        <w:t xml:space="preserve">Zitiervorschlag: § 8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