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EBewMG — Anwendbarkeit anderer Verfahrens- und Zuständigkeitsvorschriften</w:t>
      </w:r>
    </w:p>
    <w:p>
      <w:r>
        <w:rPr>
          <w:color w:val="555555"/>
          <w:sz w:val="18"/>
        </w:rPr>
        <w:t xml:space="preserve">Elektronische-Beweismittel-Umsetzungs-und-Durchführungsgesetz</w:t>
      </w:r>
    </w:p>
    <w:p>
      <w:r>
        <w:rPr>
          <w:color w:val="555555"/>
          <w:sz w:val="18"/>
        </w:rPr>
        <w:t xml:space="preserve">Stand: 18.08.2026 (konsolidierte Textfassung, kein amtliches Inkrafttretensdatum)</w:t>
      </w:r>
    </w:p>
    <w:p>
      <w:r>
        <w:t xml:space="preserve">Soweit die Verordnung (EU) 2023/1543 in der Fassung vom 12. Juli 2023 und die nachfolgenden Bestimmungen des dritten Teils dieses Gesetzes keine besonderen Verfahrens- und Zuständigkeitsvorschriften vorsehen, gelten die Vorschriften des Gerichtsverfassungsgesetzes, des Einführungsgesetzes zum Gerichtsverfassungsgesetz, der Strafprozessordnung, des Jugendgerichtsgesetzes, der Abgabenordnung und des Gesetzes zur Bekämpfung der Schwarzarbeit und der illegalen Beschäftigung.</w:t>
      </w:r>
    </w:p>
    <w:p>
      <w:r>
        <w:rPr>
          <w:color w:val="555555"/>
          <w:sz w:val="17"/>
        </w:rPr>
        <w:t xml:space="preserve">Zitiervorschlag: § 7 EBewMG</w:t>
      </w:r>
    </w:p>
    <w:p>
      <w:r>
        <w:rPr>
          <w:color w:val="555555"/>
          <w:sz w:val="17"/>
        </w:rPr>
        <w:t xml:space="preserve">Quelle: Bundesamt für Justiz, abgerufen 18.08.2026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https://recht.nulegal.eu/gesetze/EBewMG/7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