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EBewMG — Bußgeldvorschriften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Ordnungswidrig handelt, wer vorsätzlich oder fährlässig</w:t>
      </w:r>
    </w:p>
    <w:p>
      <w:pPr>
        <w:ind w:left="420"/>
      </w:pPr>
      <w:r>
        <w:t xml:space="preserve">1. entgegen § 3 Absatz 1 Satz 1, 2 oder 3 oder § 3 Absatz 2 eine dort genannte Niederlassung nicht, nicht richtig oder nicht rechtzeitig benennt,</w:t>
      </w:r>
    </w:p>
    <w:p>
      <w:pPr>
        <w:ind w:left="420"/>
      </w:pPr>
      <w:r>
        <w:t xml:space="preserve">2. entgegen § 3 Absatz 3 einen verantwortlichen Vertreter nicht, nicht richtig oder nicht rechtzeitig bestellt oder</w:t>
      </w:r>
    </w:p>
    <w:p>
      <w:pPr>
        <w:ind w:left="420"/>
      </w:pPr>
      <w:r>
        <w:t xml:space="preserve">3. entgegen § 4 Absatz 1 oder 2 eine Mitteilung nicht, nicht richtig, nicht vollständig oder nicht rechtzeitig macht.</w:t>
      </w:r>
    </w:p>
    <w:p>
      <w:r>
        <w:t xml:space="preserve">(2) Ordnungswidrig handelt, wer gegen die Verordnung (EU) 2023/1543 in der Fassung vom 12. Juli 2023 verstößt, indem er vorsätzlich oder fahrlässig</w:t>
      </w:r>
    </w:p>
    <w:p>
      <w:pPr>
        <w:ind w:left="420"/>
      </w:pPr>
      <w:r>
        <w:t xml:space="preserve">1. entgegen Artikel 10 Absatz 1 oder 2 Satz 2 nicht, nicht richtig oder nicht rechtzeitig tätig wird,</w:t>
      </w:r>
    </w:p>
    <w:p>
      <w:pPr>
        <w:ind w:left="420"/>
      </w:pPr>
      <w:r>
        <w:t xml:space="preserve">2. entgegen Artikel 10 Absatz 2 Satz 1 nicht sicherstellt, dass angeforderte Daten übermittelt werden,</w:t>
      </w:r>
    </w:p>
    <w:p>
      <w:pPr>
        <w:ind w:left="420"/>
      </w:pPr>
      <w:r>
        <w:t xml:space="preserve">3. entgegen Artikel 10 Absatz 3 nicht dafür sorgt, dass angeforderte Daten übermittelt werden,</w:t>
      </w:r>
    </w:p>
    <w:p>
      <w:pPr>
        <w:ind w:left="420"/>
      </w:pPr>
      <w:r>
        <w:t xml:space="preserve">4. entgegen Artikel 10 Absatz 4 Satz 1 angeforderte Daten nicht oder nicht rechtzeitig übermittelt,</w:t>
      </w:r>
    </w:p>
    <w:p>
      <w:pPr>
        <w:ind w:left="420"/>
      </w:pPr>
      <w:r>
        <w:t xml:space="preserve">5. entgegen Artikel 10 Absatz 6 Unterabsatz 1 Satz 1, Absatz 7 Satz 1 oder Absatz 8 Satz 1 oder Artikel 11 Absatz 5 Unterabsatz 1, Absatz 6 Satz 1 oder Absatz 7 Satz 1 jeweils eine dort genannte Behörde nicht, nicht richtig oder nicht rechtzeitig in Kenntnis setzt,</w:t>
      </w:r>
    </w:p>
    <w:p>
      <w:pPr>
        <w:ind w:left="420"/>
      </w:pPr>
      <w:r>
        <w:t xml:space="preserve">6. entgegen Artikel 10 Absatz 6 Unterabsatz 1 Satz 2 eine Mitteilung nicht, nicht richtig, nicht vollständig oder nicht rechtzeitig macht,</w:t>
      </w:r>
    </w:p>
    <w:p>
      <w:pPr>
        <w:ind w:left="420"/>
      </w:pPr>
      <w:r>
        <w:t xml:space="preserve">7. entgegen Artikel 10 Absatz 6 Unterabsatz 2 Satz 2 oder Artikel 11 Absatz 5 Unterabsatz 2 nicht sicherstellt, dass er die dort genannte Klarstellung oder Berichtigung erhalten kann,</w:t>
      </w:r>
    </w:p>
    <w:p>
      <w:pPr>
        <w:ind w:left="420"/>
      </w:pPr>
      <w:r>
        <w:t xml:space="preserve">8. entgegen Artikel 11 Absatz 1 Satz 1 in Verbindung mit Satz 2 angeforderte Daten nicht oder nicht rechtzeitig oder nicht für die vorgeschriebene Dauer sichert,</w:t>
      </w:r>
    </w:p>
    <w:p>
      <w:pPr>
        <w:ind w:left="420"/>
      </w:pPr>
      <w:r>
        <w:t xml:space="preserve">9. einer vollziehbaren Anordnung nach Artikel 11 Absatz 1 Satz 3 zuwiderhandelt,</w:t>
      </w:r>
    </w:p>
    <w:p>
      <w:pPr>
        <w:ind w:left="420"/>
      </w:pPr>
      <w:r>
        <w:t xml:space="preserve">10. entgegen Artikel 11 Absatz 2 angeforderte Daten nicht oder nicht für die vorgeschriebene Dauer sichert oder</w:t>
      </w:r>
    </w:p>
    <w:p>
      <w:pPr>
        <w:ind w:left="420"/>
      </w:pPr>
      <w:r>
        <w:t xml:space="preserve">11. entgegen Artikel 13 Absatz 4 eine dort genannte Maßnahme nicht, nicht richtig oder nicht vollständig trifft.</w:t>
      </w:r>
    </w:p>
    <w:p>
      <w:r>
        <w:t xml:space="preserve">(3) Die Ordnungswidrigkeit kann geahndet werden</w:t>
      </w:r>
    </w:p>
    <w:p>
      <w:pPr>
        <w:ind w:left="420"/>
      </w:pPr>
      <w:r>
        <w:t xml:space="preserve">1. in den Fällen des</w:t>
      </w:r>
    </w:p>
    <w:p>
      <w:pPr>
        <w:ind w:left="780"/>
      </w:pPr>
      <w:r>
        <w:t xml:space="preserve">a) Absatzes 1 und</w:t>
      </w:r>
    </w:p>
    <w:p>
      <w:pPr>
        <w:ind w:left="780"/>
      </w:pPr>
      <w:r>
        <w:t xml:space="preserve">b) Absatzes 2 Nummer 1 bis 4 und 7 bis 11</w:t>
      </w:r>
    </w:p>
    <w:p>
      <w:pPr>
        <w:ind w:left="420"/>
      </w:pPr>
      <w:r>
        <w:t xml:space="preserve">mit einer Geldbuße bis zu fünfhunderttausend Euro und</w:t>
      </w:r>
    </w:p>
    <w:p>
      <w:pPr>
        <w:ind w:left="420"/>
      </w:pPr>
      <w:r>
        <w:t xml:space="preserve">2. in den Fällen des Absatzes 2 Nummer 5 und 6 mit einer Geldbuße bis zu hunderttausend Euro.</w:t>
      </w:r>
    </w:p>
    <w:p>
      <w:r>
        <w:t xml:space="preserve">(4) Gegenüber einem Diensteanbieter mit einem Gesamtumsatz von mehr als 25 Millionen Euro kann abweichend von Absatz 3 Nummer 1 Buchstabe b, auch in Verbindung mit § 30 Absatz 2 Satz 2 des Gesetzes über Ordnungswidrigkeiten, eine Ordnungswidrigkeit nach Absatz 2 Nummer 1 bis 4 und 7 bis 11 mit einer Geldbuße bis zu 2 Prozent des Gesamtumsatzes geahndet werden.</w:t>
      </w:r>
    </w:p>
    <w:p>
      <w:r>
        <w:t xml:space="preserve">(5) Gegenüber einem Diensteanbieter mit einem Gesamtumsatz von mehr als 5 Millionen Euro kann abweichend von Absatz 3 Nummer 2, auch in Verbindung mit § 30 Absatz 2 Satz 2 des Gesetzes über Ordnungswidrigkeiten, eine Ordnungswidrigkeit nach Absatz 2 Nummer 5 oder 6 mit einer Geldbuße bis zu 2 Prozent des Gesamtumsatzes geahndet werden.</w:t>
      </w:r>
    </w:p>
    <w:p>
      <w:r>
        <w:t xml:space="preserve">(6) Gesamtumsatz im Sinne der Absätze 4 und 5 ist die Summe aller Umsatzerlöse, die der Diensteanbieter in dem der Behördenentscheidung vorausgegangenen Geschäftsjahr weltweit erzielt hat. Der Gesamtumsatz kann geschätzt werden.</w:t>
      </w:r>
    </w:p>
    <w:p>
      <w:r>
        <w:t xml:space="preserve">(7) § 17 Absatz 2 des Gesetzes über Ordnungswidrigkeiten ist auf die Festsetzung der Geldbuße gegen einen Diensteanbieter in den Fällen des Absatzes 2 nicht anzuwenden.</w:t>
      </w:r>
    </w:p>
    <w:p>
      <w:r>
        <w:t xml:space="preserve">(8) Verwaltungsbehörde im Sinne des § 36 Absatz 1 Nummer 1 des Gesetzes über Ordnungswidrigkeiten ist</w:t>
      </w:r>
    </w:p>
    <w:p>
      <w:pPr>
        <w:ind w:left="420"/>
      </w:pPr>
      <w:r>
        <w:t xml:space="preserve">1. in den Fällen des Absatzes 1 das Bundesamt für Justiz,</w:t>
      </w:r>
    </w:p>
    <w:p>
      <w:pPr>
        <w:ind w:left="420"/>
      </w:pPr>
      <w:r>
        <w:t xml:space="preserve">2. in den Fällen des Absatzes 2 die Vollstreckungsbehörde nach § 11 Absatz 1.</w:t>
      </w:r>
    </w:p>
    <w:p>
      <w:r>
        <w:rPr>
          <w:color w:val="555555"/>
          <w:sz w:val="17"/>
        </w:rPr>
        <w:t xml:space="preserve">Zitiervorschlag: § 18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