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EBewMG — Anwendbarkeit des Gesetzes über Ordnungswidrigkeiten</w:t>
      </w:r>
    </w:p>
    <w:p>
      <w:r>
        <w:rPr>
          <w:color w:val="555555"/>
          <w:sz w:val="18"/>
        </w:rPr>
        <w:t xml:space="preserve">Elektronische-Beweismittel-Umsetzungs-und-Durchführungsgesetz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Für Rechtsbehelfe gegen Entscheidungen im Vollstreckungsverfahren gemäß Artikel 16 Absatz 10 Satz 2 der Verordnung (EU) 2023/1543 in der Fassung vom 12. Juli 2023 gelten die Vorschriften des Fünften Abschnitts des Zweiten Teils des Gesetzes über Ordnungswidrigkeiten entsprechend.</w:t>
      </w:r>
    </w:p>
    <w:p>
      <w:r>
        <w:rPr>
          <w:color w:val="555555"/>
          <w:sz w:val="17"/>
        </w:rPr>
        <w:t xml:space="preserve">Zitiervorschlag: § 17 EBewMG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https://recht.nulegal.eu/gesetze/EBewMG/17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