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EBewMG — Gerichtliches Verfahren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Für den Antrag der Anordnungsbehörde auf gerichtliche Entscheidung bei einander widersprechenden Verpflichtungen nach Artikel 17 Absatz 3 Satz 2 der Verordnung (EU) 2023/1543 in der Fassung vom 12. Juli 2023 ist der Rechtsweg zu den ordentlichen Gerichten eröffnet.</w:t>
      </w:r>
    </w:p>
    <w:p>
      <w:r>
        <w:t xml:space="preserve">(2) Über den Antrag der Anordnungsbehörde nach Absatz 1 entscheidet das Oberlandesgericht. Örtlich zuständig ist das Oberlandesgericht, in dessen Bezirk die Anordnungsbehörde ihren Sitz hat. Abweichend von Satz 1 entscheidet der Bundesgerichtshof in Fällen, in denen der Generalbundesanwalt oder der Ermittlungsrichter des Bundesgerichtshofs die Anordnung erlassen hat.</w:t>
      </w:r>
    </w:p>
    <w:p>
      <w:r>
        <w:t xml:space="preserve">(3) Die Anordnungsbehörde hat dem Antrag das Ergebnis ihrer Überprüfung des begründeten Einwands und der etwaigen Anmerkungen des Vollstreckungsstaats gemäß Artikel 17 Absatz 3 Satz 1 der Verordnung (EU) 2023/1543 in der Fassung vom 12. Juli 2023 beizufügen.</w:t>
      </w:r>
    </w:p>
    <w:p>
      <w:r>
        <w:t xml:space="preserve">(4) Für die Berechnung der Frist nach Artikel 17 Absatz 2 Satz 3 der Verordnung (EU) 2023/1543 in der Fassung vom 12. Juli 2023 gelten die §§ 42 und 43 Absatz 2 der Strafprozessordnung entsprechend.</w:t>
      </w:r>
    </w:p>
    <w:p>
      <w:r>
        <w:rPr>
          <w:color w:val="555555"/>
          <w:sz w:val="17"/>
        </w:rPr>
        <w:t xml:space="preserve">Zitiervorschlag: § 15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