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EBewMG — Gerichtliche Entscheidung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Das Gericht prüft im Fall Europäischer Herausgabeanordnungen, ob die Voraussetzungen für den Erlass gemäß Artikel 4 Absatz 1, 2, 4 und 5 sowie Artikel 5 der Verordnung (EU) 2023/1543 in der Fassung vom 12. Juli 2023 erfüllt sind.</w:t>
      </w:r>
    </w:p>
    <w:p>
      <w:r>
        <w:t xml:space="preserve">(2) Liegen die Voraussetzungen nicht vor, stellt das Gericht die Rechtswidrigkeit fest und hebt die Europäische Herausgabeanordnung auf.</w:t>
      </w:r>
    </w:p>
    <w:p>
      <w:r>
        <w:rPr>
          <w:color w:val="555555"/>
          <w:sz w:val="17"/>
        </w:rPr>
        <w:t xml:space="preserve">Zitiervorschlag: § 14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