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EBewMG — Anwendbare Vorschriften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Für Rechtsbehelfe gegen Europäische Herausgabeanordnungen, mit denen Teilnehmerdaten angefordert werden, gelten § 98 Absatz 2 Satz 2, § 304 Absatz 1 sowie die §§ 306 und 310 Absatz 2 der Strafprozessordnung entsprechend. Gleiches gilt für staatsanwaltschaftlich angeordnete Europäische Herausgabeanordnungen zur Erhebung von Daten zur ausschließlichen Identifizierung des Nutzers.</w:t>
      </w:r>
    </w:p>
    <w:p>
      <w:r>
        <w:t xml:space="preserve">(2) Für Rechtsbehelfe gegen Europäische Herausgabeanordnungen, mit denen Verkehrsdaten angefordert werden, gilt § 101a Absatz 6 Satz 2 in Verbindung mit § 101 Absatz 7 Satz 2 und § 311 der Strafprozessordnung entsprechend. Gleiches gilt für gerichtlich angeordnete Europäische Herausgabeanordnungen zur Erhebung von Daten zur ausschließlichen Identifizierung des Nutzers.</w:t>
      </w:r>
    </w:p>
    <w:p>
      <w:r>
        <w:t xml:space="preserve">(3) Für Rechtsbehelfe gegen Europäische Herausgabeanordnungen, mit denen Inhaltsdaten angefordert werden, gelten § 95a Absatz 5 Satz 1 und 2, § 101 Absatz 7 Satz 2 und 3, § 304 Absatz 1, die §§ 306, 310 Absatz 2 und § 311 der Strafprozessordnung entsprechend.</w:t>
      </w:r>
    </w:p>
    <w:p>
      <w:r>
        <w:t xml:space="preserve">(4) Die Rechtsbehelfe nach den Absätzen 1 bis 3 stehen nur Personen zur Verfügung, deren Daten im Wege einer Europäischen Herausgabeanordnung nach der Verordnung (EU) 2023/1543 in der Fassung vom 12. Juli 2023 angefordert wurden.</w:t>
      </w:r>
    </w:p>
    <w:p>
      <w:r>
        <w:rPr>
          <w:color w:val="555555"/>
          <w:sz w:val="17"/>
        </w:rPr>
        <w:t xml:space="preserve">Zitiervorschlag: § 13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