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EBewMG — Statistikpflichten</w:t>
      </w:r>
    </w:p>
    <w:p>
      <w:r>
        <w:rPr>
          <w:color w:val="555555"/>
          <w:sz w:val="18"/>
        </w:rPr>
        <w:t xml:space="preserve">Elektronische-Beweismittel-Umsetzungs-und-Durchführungsgesetz</w:t>
      </w:r>
    </w:p>
    <w:p>
      <w:r>
        <w:rPr>
          <w:color w:val="555555"/>
          <w:sz w:val="18"/>
        </w:rPr>
        <w:t xml:space="preserve">Stand: 18.08.2026 (konsolidierte Textfassung, kein amtliches Inkrafttretensdatum)</w:t>
      </w:r>
    </w:p>
    <w:p>
      <w:r>
        <w:t xml:space="preserve">(1) Die Landesjustizverwaltungen und der Generalbundesanwalt erheben in ihrem Zuständigkeitsbereich die in Artikel 28 Absatz 2 der Verordnung (EU) 2023/1543 in der Fassung vom 12. Juli 2023 benannten Daten und übermitteln diese dem Bundesamt für Justiz kalenderjährlich jeweils bis zum 28. Februar des dem Berichtsjahr folgenden Jahres.</w:t>
      </w:r>
    </w:p>
    <w:p>
      <w:r>
        <w:t xml:space="preserve">(2) Das Bundesamt für Justiz erstellt eine Übersicht über die Daten nach Absatz 1 und übermittelt die Übersicht bis spätestens 31. März des dem Berichtsjahr folgenden Jahres an die Europäische Kommission.</w:t>
      </w:r>
    </w:p>
    <w:p>
      <w:r>
        <w:rPr>
          <w:color w:val="555555"/>
          <w:sz w:val="17"/>
        </w:rPr>
        <w:t xml:space="preserve">Zitiervorschlag: § 12 EBewMG</w:t>
      </w:r>
    </w:p>
    <w:p>
      <w:r>
        <w:rPr>
          <w:color w:val="555555"/>
          <w:sz w:val="17"/>
        </w:rPr>
        <w:t xml:space="preserve">Quelle: Bundesamt für Justiz, abgerufen 18.08.2026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https://recht.nulegal.eu/gesetze/EBewMG/12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