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EBewMG — Begriffsbestimmungen</w:t>
      </w:r>
    </w:p>
    <w:p>
      <w:r>
        <w:rPr>
          <w:color w:val="555555"/>
          <w:sz w:val="18"/>
        </w:rPr>
        <w:t xml:space="preserve">Elektronische-Beweismittel-Umsetzungs-und-Durchführungsgesetz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Für dieses Gesetz gelten die Begriffsbestimmungen nach Artikel 2 der Richtlinie (EU) 2023/1544 in der Fassung vom 12. Juli 2023 und Artikel 3 der Verordnung (EU) 2023/1543 in der Fassung vom 12. Juli 2023. Der Begriff „Adressat“ wird im Sinne des Artikels 7 Absatz 1 der Verordnung (EU) 2023/1543 in der Fassung vom 12. Juli 2023 verwendet.</w:t>
      </w:r>
    </w:p>
    <w:p>
      <w:r>
        <w:rPr>
          <w:color w:val="555555"/>
          <w:sz w:val="17"/>
        </w:rPr>
        <w:t xml:space="preserve">Zitiervorschlag: § 1 EBewMG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https://recht.nulegal.eu/gesetze/EBewMG/1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