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EBeV 2030 — Berechnungsfaktoren</w:t>
      </w:r>
    </w:p>
    <w:p>
      <w:r>
        <w:rPr>
          <w:color w:val="555555"/>
          <w:sz w:val="18"/>
        </w:rPr>
        <w:t xml:space="preserve">Emissionsberichterstattungsverordnung 2030</w:t>
      </w:r>
    </w:p>
    <w:p>
      <w:r>
        <w:rPr>
          <w:color w:val="555555"/>
          <w:sz w:val="18"/>
        </w:rPr>
        <w:t xml:space="preserve">Stand: 31.12.2022 (konsolidierte Textfassung, kein amtliches Inkrafttretensdatum)</w:t>
      </w:r>
    </w:p>
    <w:p>
      <w:r>
        <w:t xml:space="preserve">(1) Soweit in dieser Verordnung nicht anders bestimmt, sind bei der rechnerischen Ermittlung der Brennstoffemissionen eines Kalenderjahres für die in Anlage 1 Satz 1 des Brennstoffemissionshandelsgesetzes genannten Brennstoffe die in Anlage 2 Teil 4 festgelegten Standardwerte für Berechnungsfaktoren zu Grunde zu legen. Für Brennstoffe können gewichtete Berechnungsfaktoren auf Basis der in Anlage 2 Teil 4 festgelegten Brennstoffe und auf Basis von deren Standardwerten ermittelt werden. Diese gewichteten Berechnungsfaktoren gelten wiederum als Standardwerte im Sinne dieser Verordnung.</w:t>
      </w:r>
    </w:p>
    <w:p>
      <w:r>
        <w:t xml:space="preserve">(2) Sofern für Kohlen eine Probenahme und Analyse des unteren Heizwerts der gelieferten Mengen nach den anerkannten Regeln der Technik durchgeführt wurde, ist abweichend von Absatz 1 der individuelle Analysenwert des unteren Heizwerts für die jeweilige Liefercharge heranzuziehen.</w:t>
      </w:r>
    </w:p>
    <w:p>
      <w:r>
        <w:t xml:space="preserve">(3) Sind für Brennstoffe nach Anlage 1 Satz 1 des Brennstoffemissionshandelsgesetzes keine Standardwerte in Anlage 2 Teil 4 festgelegt, verwendet der Verantwortliche eine der in Anlage 4 Teil 1 genannten individuellen Methoden zur Ermittlung der Berechnungsfaktoren. Die gewählte Methode ist zu beschreiben und ihre Eignung für den jeweiligen Brennstoff zu begründen.</w:t>
      </w:r>
    </w:p>
    <w:p>
      <w:r>
        <w:t xml:space="preserve">(4) Werden die Brennstoffemissionen im Fall des § 2 Absatz 2a des Brennstoffemissionshandelsgesetzes gemäß § 5 Absatz 2 rechnerisch ermittelt, so kann der Verantwortliche für die in Anlage 2 Teil 5 genannten Brennstoffe</w:t>
      </w:r>
    </w:p>
    <w:p>
      <w:pPr>
        <w:ind w:left="420"/>
      </w:pPr>
      <w:r>
        <w:t xml:space="preserve">1. die in dieser Anlage festgelegten Standardwerte für Berechnungsfaktoren zu Grunde legen oder</w:t>
      </w:r>
    </w:p>
    <w:p>
      <w:pPr>
        <w:ind w:left="420"/>
      </w:pPr>
      <w:r>
        <w:t xml:space="preserve">2. eine in Teil 2 der Anlage 4 genannte Methode zur Ermittlung der Berechnungsfaktoren verwenden.</w:t>
      </w:r>
    </w:p>
    <w:p>
      <w:r>
        <w:t xml:space="preserve">Der Verantwortliche hat die gewählte Methode im Überwachungsplan zu beschreiben und ihre Eignung für den jeweiligen Brennstoff zu begründen.</w:t>
      </w:r>
    </w:p>
    <w:p>
      <w:r>
        <w:rPr>
          <w:color w:val="555555"/>
          <w:sz w:val="17"/>
        </w:rPr>
        <w:t xml:space="preserve">Zitiervorschlag: § 7 EBeV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https://recht.nulegal.eu/gesetze/EBeV%202030/7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