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EBeV 2030 — Inkrafttreten</w:t>
      </w:r>
    </w:p>
    <w:p>
      <w:r>
        <w:rPr>
          <w:color w:val="555555"/>
          <w:sz w:val="18"/>
        </w:rPr>
        <w:t xml:space="preserve">Emissionsberichterstattungsverordnung 2030</w:t>
      </w:r>
    </w:p>
    <w:p>
      <w:r>
        <w:rPr>
          <w:color w:val="555555"/>
          <w:sz w:val="18"/>
        </w:rPr>
        <w:t xml:space="preserve">Stand: 31.12.2022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20 EBeV 2030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https://recht.nulegal.eu/gesetze/EBeV%202030/20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