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EBeV 2030 — Berichterstattung</w:t>
      </w:r>
    </w:p>
    <w:p>
      <w:r>
        <w:rPr>
          <w:color w:val="555555"/>
          <w:sz w:val="18"/>
        </w:rPr>
        <w:t xml:space="preserve">Emissionsberichterstattungsverordnung 2030</w:t>
      </w:r>
    </w:p>
    <w:p>
      <w:r>
        <w:rPr>
          <w:color w:val="555555"/>
          <w:sz w:val="18"/>
        </w:rPr>
        <w:t xml:space="preserve">Stand: 31.12.2022 (konsolidierte Textfassung, kein amtliches Inkrafttretensdatum)</w:t>
      </w:r>
    </w:p>
    <w:p>
      <w:r>
        <w:t xml:space="preserve">(1) Der nach § 7 Absatz 1 des Brennstoffemissionshandelsgesetzes zu erstellende Emissionsbericht hat Folgendes zu umfassen:</w:t>
      </w:r>
    </w:p>
    <w:p>
      <w:pPr>
        <w:ind w:left="420"/>
      </w:pPr>
      <w:r>
        <w:t xml:space="preserve">1. die gemäß § 5 ermittelten Brennstoffemissionen für die in einem Kalenderjahr in Verkehr gebrachten Brennstoffe und</w:t>
      </w:r>
    </w:p>
    <w:p>
      <w:pPr>
        <w:ind w:left="420"/>
      </w:pPr>
      <w:r>
        <w:t xml:space="preserve">2. mindestens die in der Anlage 3 aufgeführten Angaben.</w:t>
      </w:r>
    </w:p>
    <w:p>
      <w:r>
        <w:t xml:space="preserve">(2) Wird die Lieferung oder der Verbrauch von Erdgas nach Ablesezeiträumen abgerechnet oder ermittelt, die mehrere Kalenderjahre betreffen, so hat der Verantwortliche bei der Ermittlung der Brennstoffemissionen im Emissionsbericht die voraussichtlich für das zu berichtende Kalenderjahr in Verkehr gebrachte Erdgasmenge (vorläufige Erdgasmenge) zugrunde zu legen. Für die Bestimmung der vorläufigen Erdgasmenge sind die Vorgaben zur sachgerechten Aufteilung der Erdgasmenge nach § 39 Absatz 6 Satz 1 des Energiesteuergesetzes maßgeblich, wobei eine systematische Überschätzung der auf das zu berichtende Kalenderjahr entfallenden Erdgasmenge auszuschließen ist. Sofern Ablesezeiträume später enden als das jeweilige Kalenderjahr, hat der Verantwortliche die vorläufige Erdgasmenge nach Satz 1 für diese Ablesezeiträume im Emissionsbericht desjenigen Kalenderjahres zu berichtigen, in dem der Ablesezeitraum endet.</w:t>
      </w:r>
    </w:p>
    <w:p>
      <w:r>
        <w:rPr>
          <w:color w:val="555555"/>
          <w:sz w:val="17"/>
        </w:rPr>
        <w:t xml:space="preserve">Zitiervorschlag: § 13 EBeV 2030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https://recht.nulegal.eu/gesetze/EBeV%202030/13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