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EBeV 2030 — Berücksichtigung dauerhaft eingebundener oder gespeicherter Brennstoffemissionen bei der Ermittlung der Brennstoffemissionen</w:t>
      </w:r>
    </w:p>
    <w:p>
      <w:r>
        <w:rPr>
          <w:color w:val="555555"/>
          <w:sz w:val="18"/>
        </w:rPr>
        <w:t xml:space="preserve">Emissionsberichterstattungsverordnung 2030</w:t>
      </w:r>
    </w:p>
    <w:p>
      <w:r>
        <w:rPr>
          <w:color w:val="555555"/>
          <w:sz w:val="18"/>
        </w:rPr>
        <w:t xml:space="preserve">Stand: 31.12.2022 (konsolidierte Textfassung, kein amtliches Inkrafttretensdatum)</w:t>
      </w:r>
    </w:p>
    <w:p>
      <w:r>
        <w:t xml:space="preserve">Bei der Ermittlung der Brennstoffemissionen kann der Verantwortliche in den Fällen des § 2 Absatz 2a des Brennstoffemissionshandelsgesetzes für den Anteil dauerhaft eingebundener oder gespeicherter Brennstoffemissionen einen Emissionsfaktor von Null anwenden, sofern diese dauerhafte Einbindung oder Speicherung bei einer dem EU-Emissionshandel unterliegenden Anlage eine Ausnahme von der Berichtspflicht nach dem Treibhausgas-Emissionshandelsgesetz begründen würde. Für die rechnerische Berücksichtigung des Anteils nach Satz 1 bei der Ermittlung der Brennstoffemissionen ist Anlage 2 Teil 2 anzuwenden.</w:t>
      </w:r>
    </w:p>
    <w:p>
      <w:r>
        <w:rPr>
          <w:color w:val="555555"/>
          <w:sz w:val="17"/>
        </w:rPr>
        <w:t xml:space="preserve">Zitiervorschlag: § 11 EBeV 2030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https://recht.nulegal.eu/gesetze/EBeV%202030/11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