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EBeV 2030 — Berücksichtigung des Anteils flüssiger oder gasförmiger erneuerbarer Brennstoffe nicht-biogenen Ursprungs bei der Ermittlung der Brennstoffemissionen</w:t>
      </w:r>
    </w:p>
    <w:p>
      <w:r>
        <w:rPr>
          <w:color w:val="555555"/>
          <w:sz w:val="18"/>
        </w:rPr>
        <w:t xml:space="preserve">Emissionsberichterstattungsverordnung 2030</w:t>
      </w:r>
    </w:p>
    <w:p>
      <w:r>
        <w:rPr>
          <w:color w:val="555555"/>
          <w:sz w:val="18"/>
        </w:rPr>
        <w:t xml:space="preserve">Stand: 31.12.2022 (konsolidierte Textfassung, kein amtliches Inkrafttretensdatum)</w:t>
      </w:r>
    </w:p>
    <w:p>
      <w:r>
        <w:t xml:space="preserve">(1) Bei der Ermittlung der Brennstoffemissionen kann der Verantwortliche für den Anteil eines Brennstoffs, der aus flüssigen oder gasförmigen erneuerbaren Brennstoffen nicht-biogenen Ursprungs stammt, einen Emissionsfaktor von Null anwenden,</w:t>
      </w:r>
    </w:p>
    <w:p>
      <w:pPr>
        <w:ind w:left="420"/>
      </w:pPr>
      <w:r>
        <w:t xml:space="preserve">1. soweit eine Rechtsverordnung auf Grund des § 37d Absatz 1 Satz 2, Absatz 2 Satz 1 Nummer 1 Buchstabe a und c, Nummer 13 und 15 Buchstabe d und Absatz 3 in Verbindung mit Absatz 2 Satz 2 und 3 des Bundes-Immissionsschutzgesetzes weitere Vorgaben zur Einhaltung der Anforderungen der Richtlinie (EU) 2018/2001 sowie zum Nachweisverfahren festlegt und</w:t>
      </w:r>
    </w:p>
    <w:p>
      <w:pPr>
        <w:ind w:left="420"/>
      </w:pPr>
      <w:r>
        <w:t xml:space="preserve">2. wenn der Verantwortliche die Vorgaben nach Nummer 1 erfüllt.</w:t>
      </w:r>
    </w:p>
    <w:p>
      <w:r>
        <w:t xml:space="preserve">(2) Der Emissionsfaktor von Null kann auf denjenigen Anteil nach Absatz 1 angewendet werden, der gemäß den Bestimmungen der Rechtsverordnung nach Absatz 1 Nummer 1 auf die Erfüllung von Verpflichtungen nach § 37a Absatz 1 Satz 1 und 2 in Verbindung mit § 37a Absatz 4 des Bundes-Immissionsschutzgesetzes in der jeweils geltenden Fassung angerechnet werden kann. Für die rechnerische Berücksichtigung des Anteils nach Satz 1 bei der Ermittlung der Brennstoffemissionen ist Anlage 2 Teil 2 anzuwenden.</w:t>
      </w:r>
    </w:p>
    <w:p>
      <w:r>
        <w:rPr>
          <w:color w:val="555555"/>
          <w:sz w:val="17"/>
        </w:rPr>
        <w:t xml:space="preserve">Zitiervorschlag: § 10 EBeV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https://recht.nulegal.eu/gesetze/EBeV%202030/10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