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EBeV 2030 — Anwendungsbereich und Zweck</w:t>
      </w:r>
    </w:p>
    <w:p>
      <w:r>
        <w:rPr>
          <w:color w:val="555555"/>
          <w:sz w:val="18"/>
        </w:rPr>
        <w:t xml:space="preserve">Emissionsberichterstattungsverordnung 2030</w:t>
      </w:r>
    </w:p>
    <w:p>
      <w:r>
        <w:rPr>
          <w:color w:val="555555"/>
          <w:sz w:val="18"/>
        </w:rPr>
        <w:t xml:space="preserve">Stand: 31.12.2022 (konsolidierte Textfassung, kein amtliches Inkrafttretensdatum)</w:t>
      </w:r>
    </w:p>
    <w:p>
      <w:r>
        <w:t xml:space="preserve">Diese Verordnung ist innerhalb des Anwendungsbereichs des Brennstoffemissionshandelsgesetzes vom 12. Dezember 2019 (BGBl. I S. 2728, 2098), das zuletzt durch Artikel 2 des Gesetzes vom 9. November 2022 (BGBl. I S. 2006) geändert worden ist, anzuwenden. Sie ist beschränkt auf die Konkretisierung der Anforderungen der §§ 6 und 7 des Brennstoffemissionshandelsgesetzes für die Periode von 2023 bis 2030.</w:t>
      </w:r>
    </w:p>
    <w:p>
      <w:r>
        <w:rPr>
          <w:color w:val="555555"/>
          <w:sz w:val="17"/>
        </w:rPr>
        <w:t xml:space="preserve">Zitiervorschlag: § 1 EBeV 2030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https://recht.nulegal.eu/gesetze/EBeV%202030/1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