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EBeV 2022</w:t>
      </w:r>
    </w:p>
    <w:p>
      <w:r>
        <w:rPr>
          <w:color w:val="555555"/>
          <w:sz w:val="18"/>
        </w:rPr>
        <w:t xml:space="preserve">Emissionsberichterstattungsverordnung 2022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Auf Grund des § 6 Absatz 5 und des § 7 Absatz 4 und Absatz 5 Satz 2 des Brennstoffemissionshandelsgesetzes vom 12. Dezember 2019 (BGBl. I S. 2728), von denen § 7 Absatz 4 Nummer 2 durch Artikel 1 Nummer 3 des Gesetzes vom 3. November 2020 (BGBl. I S. 2291) geändert worden ist, verordnet die Bundesregierung:</w:t>
      </w:r>
    </w:p>
    <w:p>
      <w:r>
        <w:rPr>
          <w:color w:val="555555"/>
          <w:sz w:val="17"/>
        </w:rPr>
        <w:t xml:space="preserve">Zitiervorschlag: Eingangsformel EBeV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