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EBeV 2022 — Berichterstattungsgrenze</w:t>
      </w:r>
    </w:p>
    <w:p>
      <w:r>
        <w:rPr>
          <w:color w:val="555555"/>
          <w:sz w:val="18"/>
        </w:rPr>
        <w:t xml:space="preserve">Emissionsberichterstattungsverordnung 2022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Eine Pflicht des Verantwortlichen zur Berichterstattung nach § 7 Absatz 1 des Brennstoffemissionshandelsgesetzes besteht nicht, soweit im Laufe eines Kalenderjahres Brennstoffmengen in Verkehr gebracht werden, die vor Anwendung der §§ 6, 10 und 11 zu einer Emissionsmenge von weniger als 1 Tonne Kohlendioxid führen können.</w:t>
      </w:r>
    </w:p>
    <w:p>
      <w:r>
        <w:rPr>
          <w:color w:val="555555"/>
          <w:sz w:val="17"/>
        </w:rPr>
        <w:t xml:space="preserve">Zitiervorschlag: § 8 EBeV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https://recht.nulegal.eu/gesetze/EBeV%202022/8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