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EBeV 2022 — Entbehrlichkeit des Überwachungsplans</w:t>
      </w:r>
    </w:p>
    <w:p>
      <w:r>
        <w:rPr>
          <w:color w:val="555555"/>
          <w:sz w:val="18"/>
        </w:rPr>
        <w:t xml:space="preserve">Emissionsberichterstattungsverordnung 2022</w:t>
      </w:r>
    </w:p>
    <w:p>
      <w:r>
        <w:rPr>
          <w:color w:val="555555"/>
          <w:sz w:val="18"/>
        </w:rPr>
        <w:t xml:space="preserve">Stand: 24.12.2020 (konsolidierte Textfassung, kein amtliches Inkrafttretensdatum)</w:t>
      </w:r>
    </w:p>
    <w:p>
      <w:r>
        <w:t xml:space="preserve">Für die Periode 2021 und 2022 entfallen die Pflichten nach § 6 Absatz 1 des Brennstoffemissionshandelsgesetzes zur Übermittlung und Genehmigung eines Überwachungsplans oder eines vereinfachten Überwachungsplans.</w:t>
      </w:r>
    </w:p>
    <w:p>
      <w:r>
        <w:rPr>
          <w:color w:val="555555"/>
          <w:sz w:val="17"/>
        </w:rPr>
        <w:t xml:space="preserve">Zitiervorschlag: § 3 EBeV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https://recht.nulegal.eu/gesetze/EBeV%202022/3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