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EBeV 2022 — Inkrafttreten</w:t>
      </w:r>
    </w:p>
    <w:p>
      <w:r>
        <w:rPr>
          <w:color w:val="555555"/>
          <w:sz w:val="18"/>
        </w:rPr>
        <w:t xml:space="preserve">Emissionsberichterstattungsverordnung 2022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12 EBeV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https://recht.nulegal.eu/gesetze/EBeV%202022/12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