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EBeV 2022 — Vermeidung von Doppelerfassungen nach § 7 Absatz 4 Nummer 5 des Brennstoffemissionshandelsgesetzes</w:t>
      </w:r>
    </w:p>
    <w:p>
      <w:r>
        <w:rPr>
          <w:color w:val="555555"/>
          <w:sz w:val="18"/>
        </w:rPr>
        <w:t xml:space="preserve">Emissionsberichterstattungsverordnung 2022</w:t>
      </w:r>
    </w:p>
    <w:p>
      <w:r>
        <w:rPr>
          <w:color w:val="555555"/>
          <w:sz w:val="18"/>
        </w:rPr>
        <w:t xml:space="preserve">Stand: 24.12.2020 (konsolidierte Textfassung, kein amtliches Inkrafttretensdatum)</w:t>
      </w:r>
    </w:p>
    <w:p>
      <w:r>
        <w:t xml:space="preserve">(1) Der Verantwortliche kann eine entsprechende Menge an Brennstoffemissionen von den nach § 7 Absatz 1 des Brennstoffemissionshandelsgesetzes in einem Kalenderjahr zu berichtenden Brennstoffemissionen für Mengen von Brennstoffen abziehen, die durch den Verantwortlichen nach dem 1. Januar 2021</w:t>
      </w:r>
    </w:p>
    <w:p>
      <w:pPr>
        <w:ind w:left="420"/>
      </w:pPr>
      <w:r>
        <w:t xml:space="preserve">1. entweder aus einem Steuerlager nach § 5 Absatz 2 des Energiesteuergesetzes entfernt wurden, ohne dass sich ein weiteres Steueraussetzungsverfahren anschloss, oder zum Ge- oder Verbrauch innerhalb des Steuerlagers entnommen wurden und nachweislich nach § 8 Absatz 7 des Energiesteuergesetzes in dem für den Emissionsbericht maßgeblichen Kalenderjahr entlastet wurden,</w:t>
      </w:r>
    </w:p>
    <w:p>
      <w:pPr>
        <w:ind w:left="420"/>
      </w:pPr>
      <w:r>
        <w:t xml:space="preserve">2. gemäß § 14 Absatz 2 oder Absatz 2 in Verbindung mit Absatz 3 bis 5 des Energiesteuergesetzes in Verkehr gebracht wurden und nachweislich nach § 14 Absatz 8 des Energiesteuergesetzes in dem für den Emissionsbericht maßgeblichen Kalenderjahr entlastet wurden,</w:t>
      </w:r>
    </w:p>
    <w:p>
      <w:pPr>
        <w:ind w:left="420"/>
      </w:pPr>
      <w:r>
        <w:t xml:space="preserve">3. gemäß § 18a Absatz 1 des Energiesteuergesetzes in Verkehr gebracht wurden und nachweislich nach § 18a Absatz 4 des Energiesteuergesetzes in dem für den Emissionsbericht maßgeblichen Kalenderjahr entlastet wurden,</w:t>
      </w:r>
    </w:p>
    <w:p>
      <w:pPr>
        <w:ind w:left="420"/>
      </w:pPr>
      <w:r>
        <w:t xml:space="preserve">4. gemäß § 19b Absatz 1 des Energiesteuergesetzes in Verkehr gebracht wurden und nachweislich nach § 19b Absatz 3 des Energiesteuergesetzes in dem für den Emissionsbericht maßgeblichen Kalenderjahr entlastet wurden,</w:t>
      </w:r>
    </w:p>
    <w:p>
      <w:pPr>
        <w:ind w:left="420"/>
      </w:pPr>
      <w:r>
        <w:t xml:space="preserve">5. gemäß § 38 Absatz 1 in Verbindung mit Absatz 5 Energiesteuergesetzes in Verkehr gebracht wurden und nachweislich nach § 38 Absatz 5 Satz 3 des Energiesteuergesetzes für dasselbe Kalenderjahr entlastet wurden,</w:t>
      </w:r>
    </w:p>
    <w:p>
      <w:pPr>
        <w:ind w:left="420"/>
      </w:pPr>
      <w:r>
        <w:t xml:space="preserve">6. aus dem Steuergebiet des Energiesteuergesetzes verbracht wurden und nachweislich nach § 46 Absatz 1 Nummer 1 des Energiesteuergesetzes für dasselbe Kalenderjahr entlastet wurden,</w:t>
      </w:r>
    </w:p>
    <w:p>
      <w:pPr>
        <w:ind w:left="420"/>
      </w:pPr>
      <w:r>
        <w:t xml:space="preserve">7. aus dem Steuergebiet des Energiesteuergesetzes verbracht oder ausgeführt wurden und nachweislich nach § 46 Absatz 1 Nummer 3 des Energiesteuergesetzes für dasselbe Kalenderjahr entlastet wurden,</w:t>
      </w:r>
    </w:p>
    <w:p>
      <w:pPr>
        <w:ind w:left="420"/>
      </w:pPr>
      <w:r>
        <w:t xml:space="preserve">8. in ein Steuerlager nach § 5 Absatz 2 des Energiesteuergesetzes aufgenommen worden sind und nachweislich nach § 47 Absatz 1 Nummer 1 des Energiesteuergesetzes für dasselbe Kalenderjahr entlastet wurden,</w:t>
      </w:r>
    </w:p>
    <w:p>
      <w:pPr>
        <w:ind w:left="420"/>
      </w:pPr>
      <w:r>
        <w:t xml:space="preserve">9. bei der Lagerung oder Verladung von Energieerzeugnissen, beim Betanken von Kraftfahrzeugen oder bei der Entgasung von Transportmitteln aus nachweislich versteuerten, nicht gebrauchten Energieerzeugnissen und anderen Stoffen, aufgefangenen wurden und nachweislich nach § 47 Absatz 1 Nummer 2 des Energiesteuergesetzes für dasselbe Kalenderjahr entlastet wurden,</w:t>
      </w:r>
    </w:p>
    <w:p>
      <w:pPr>
        <w:ind w:left="420"/>
      </w:pPr>
      <w:r>
        <w:t xml:space="preserve">10. in ein Leitungsnetz für unversteuertes Erdgas eingespeist worden sind und nachweislich nach § 47 Absatz 1 Nummer 6 des Energiesteuergesetzes für dasselbe Kalenderjahr entlastet wurden oder</w:t>
      </w:r>
    </w:p>
    <w:p>
      <w:pPr>
        <w:ind w:left="420"/>
      </w:pPr>
      <w:r>
        <w:t xml:space="preserve">11. an ausländische Streitkräfte oder Hauptquartiere geliefert wurden und nachweislich nach § 105a Absatz 1 der Energiesteuer-Durchführungsverordnung für dasselbe Kalenderjahr entlastet wurden.</w:t>
      </w:r>
    </w:p>
    <w:p>
      <w:r>
        <w:t xml:space="preserve">(2) Die Berechnung der nach Absatz 1 abzugsfähigen Brennstoffemissionen erfolgt nach der Anlage 1 Teil 3 Nummer 1 zu dieser Verordnung.</w:t>
      </w:r>
    </w:p>
    <w:p>
      <w:r>
        <w:t xml:space="preserve">(3) Für den Abzug von Brennstoffemissionen übermittelt der Verantwortliche der zuständigen Behörde mit dem Emissionsbericht entsprechende Energiesteueranmeldungen, Entlastungsanträge und, soweit vorliegend, Bescheide des Hauptzollamtes als Nachweise.</w:t>
      </w:r>
    </w:p>
    <w:p>
      <w:r>
        <w:t xml:space="preserve">(4) Der Verantwortliche kann eine entsprechende Menge an Brennstoffemissionen von den nach § 7 Absatz 1 des Brennstoffemissionshandelsgesetzes in einem Kalenderjahr zu berichtenden Brennstoffemissionen für Mengen von leitungsgebundenem Erdgas abziehen, die für die in § 25 des Energiesteuergesetzes genannten Zwecke verwendet worden sind und nachweislich nach § 47 Absatz 1 Nummer 3 des Energiesteuergesetzes für dasselbe Kalenderjahr entlastet worden sind. Absatz 2 gilt entsprechend. Der Abzug nach Satz 1 ist ausgeschlossen für Mengen von leitungsgebundenem Erdgas, die in einer dem EU-Emissionshandel unterliegenden Anlage verwendet worden sind und für die ein Abzug nach § 7 Absatz 5 des Brennstoffemissionshandelsgesetzes geltend gemacht wird.</w:t>
      </w:r>
    </w:p>
    <w:p>
      <w:r>
        <w:rPr>
          <w:color w:val="555555"/>
          <w:sz w:val="17"/>
        </w:rPr>
        <w:t xml:space="preserve">Zitiervorschlag: § 10 EBeV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https://recht.nulegal.eu/gesetze/EBeV%202022/10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EBeV 2022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