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EBeV 2022 — Anwendungsbereich und Zweck</w:t>
      </w:r>
    </w:p>
    <w:p>
      <w:r>
        <w:rPr>
          <w:color w:val="555555"/>
          <w:sz w:val="18"/>
        </w:rPr>
        <w:t xml:space="preserve">Emissionsberichterstattungsverordnung 2022</w:t>
      </w:r>
    </w:p>
    <w:p>
      <w:r>
        <w:rPr>
          <w:color w:val="555555"/>
          <w:sz w:val="18"/>
        </w:rPr>
        <w:t xml:space="preserve">Stand: 24.12.2020 (konsolidierte Textfassung, kein amtliches Inkrafttretensdatum)</w:t>
      </w:r>
    </w:p>
    <w:p>
      <w:r>
        <w:t xml:space="preserve">Diese Verordnung gilt innerhalb des Anwendungsbereichs des Brennstoffemissionshandelsgesetzes. Sie ist beschränkt auf die Konkretisierung der Anforderungen der §§ 6 und 7 des Brennstoffemissionshandelsgesetzes für die Periode 2021 und 2022.</w:t>
      </w:r>
    </w:p>
    <w:p>
      <w:r>
        <w:rPr>
          <w:color w:val="555555"/>
          <w:sz w:val="17"/>
        </w:rPr>
        <w:t xml:space="preserve">Zitiervorschlag: § 1 EBeV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https://recht.nulegal.eu/gesetze/EBeV%202022/1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