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EBRG — Bildung</w:t>
      </w:r>
    </w:p>
    <w:p>
      <w:r>
        <w:rPr>
          <w:color w:val="555555"/>
          <w:sz w:val="18"/>
        </w:rPr>
        <w:t xml:space="preserve">Europäische Betriebsräte-Gesetz</w:t>
      </w:r>
    </w:p>
    <w:p>
      <w:r>
        <w:rPr>
          <w:color w:val="555555"/>
          <w:sz w:val="18"/>
        </w:rPr>
        <w:t xml:space="preserve">Stand: 10.06.2019 (konsolidierte Textfassung, kein amtliches Inkrafttretensdatum)</w:t>
      </w:r>
    </w:p>
    <w:p>
      <w:r>
        <w:t xml:space="preserve">(1) Die Bildung des besonderen Verhandlungsgremiums ist von den Arbeitnehmern oder ihren Vertretern schriftlich bei der zentralen Leitung zu beantragen oder erfolgt auf Initiative der zentralen Leitung.</w:t>
      </w:r>
    </w:p>
    <w:p>
      <w:r>
        <w:t xml:space="preserve">(2) Der Antrag ist wirksam gestellt, wenn er von mindestens 100 Arbeitnehmern oder ihren Vertretern aus mindestens zwei Betrieben oder Unternehmen, die in verschiedenen Mitgliedstaaten liegen, unterzeichnet ist und der zentralen Leitung zugeht. Werden mehrere Anträge gestellt, sind die Unterschriften zusammenzuzählen. Wird ein Antrag bei einer im Inland liegenden Betriebs- oder Unternehmensleitung eingereicht, hat diese den Antrag unverzüglich an die zentrale Leitung weiterzuleiten und die Antragsteller darüber zu unterrichten.</w:t>
      </w:r>
    </w:p>
    <w:p>
      <w:r>
        <w:t xml:space="preserve">(3) Die zentrale Leitung hat die Antragsteller, die örtlichen Betriebs- oder Unternehmensleitungen, die dort bestehenden Arbeitnehmervertretungen sowie die in inländischen Betrieben vertretenen Gewerkschaften über die Bildung eines besonderen Verhandlungsgremiums und seine Zusammensetzung zu unterrichten.</w:t>
      </w:r>
    </w:p>
    <w:p>
      <w:r>
        <w:rPr>
          <w:color w:val="555555"/>
          <w:sz w:val="17"/>
        </w:rPr>
        <w:t xml:space="preserve">Zitiervorschlag: § 9 EBRG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https://recht.nulegal.eu/gesetze/EBRG/9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