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EBRG — Bußgeldvorschriften</w:t>
      </w:r>
    </w:p>
    <w:p>
      <w:r>
        <w:rPr>
          <w:color w:val="555555"/>
          <w:sz w:val="18"/>
        </w:rPr>
        <w:t xml:space="preserve">Europäische Betriebsräte-Gesetz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</w:t>
      </w:r>
    </w:p>
    <w:p>
      <w:pPr>
        <w:ind w:left="420"/>
      </w:pPr>
      <w:r>
        <w:t xml:space="preserve">1. entgegen § 5 Absatz 1 die Informationen nicht, nicht richtig, nicht vollständig oder nicht rechtzeitig erhebt oder weiterleitet oder</w:t>
      </w:r>
    </w:p>
    <w:p>
      <w:pPr>
        <w:ind w:left="420"/>
      </w:pPr>
      <w:r>
        <w:t xml:space="preserve">2. entgegen § 29 Absatz 1 oder § 30 Absatz 1 Satz 1 oder Absatz 2 Satz 1 den Europäischen Betriebsrat oder den Ausschuss nach § 26 nicht, nicht richtig, nicht vollständig, nicht in der vorgeschriebenen Weise oder nicht rechtzeitig unterrichtet.</w:t>
      </w:r>
    </w:p>
    <w:p>
      <w:r>
        <w:t xml:space="preserve">(2) Die Ordnungswidrigkeit kann mit einer Geldbuße bis zu fünfzehntausend Euro geahndet werden.</w:t>
      </w:r>
    </w:p>
    <w:p>
      <w:r>
        <w:rPr>
          <w:color w:val="555555"/>
          <w:sz w:val="17"/>
        </w:rPr>
        <w:t xml:space="preserve">Zitiervorschlag: § 45 EBRG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https://recht.nulegal.eu/gesetze/EBRG/45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