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EBRG — Schutz inländischer Arbeitnehmervertreter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Mitglieder eines Europäischen Betriebsrats, die im Inland beschäftigt sind, gelten § 37 Absatz 1 bis 5 und die §§ 78 und 103 des Betriebsverfassungsgesetzes sowie § 15 Absatz 1 und 3 bis 5 des Kündigungsschutzgesetzes entsprechend. Für nach § 38 erforderliche Fortbildungen gilt § 37 Absatz 6 Satz 1 und 2 des Betriebsverfassungsgesetzes entsprechend.</w:t>
      </w:r>
    </w:p>
    <w:p>
      <w:r>
        <w:t xml:space="preserve">(2) Absatz 1 gilt entsprechend für die Mitglieder des besonderen Verhandlungsgremiums und die Arbeitnehmervertreter im Rahmen eines Verfahrens zur Unterrichtung und Anhörung.</w:t>
      </w:r>
    </w:p>
    <w:p>
      <w:r>
        <w:rPr>
          <w:color w:val="555555"/>
          <w:sz w:val="17"/>
        </w:rPr>
        <w:t xml:space="preserve">Zitiervorschlag: § 40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