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EBRG — Berechnung der Arbeitnehmerzahlen</w:t>
      </w:r>
    </w:p>
    <w:p>
      <w:r>
        <w:rPr>
          <w:color w:val="555555"/>
          <w:sz w:val="18"/>
        </w:rPr>
        <w:t xml:space="preserve">Europäische Betriebsräte-Gesetz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Betrieben und Unternehmen des Inlands errechnen sich die im Rahmen des § 3 zu berücksichtigenden Arbeitnehmerzahlen nach der Anzahl der im Durchschnitt während der letzten zwei Jahre beschäftigten Arbeitnehmer im Sinne des § 5 Absatz 1 des Betriebsverfassungsgesetzes. Maßgebend für den Beginn der Frist nach Satz 1 ist der Zeitpunkt, in dem die zentrale Leitung die Initiative zur Bildung des besonderen Verhandlungsgremiums ergreift oder der zentralen Leitung ein den Voraussetzungen des § 9 Absatz 2 entsprechender Antrag der Arbeitnehmer oder ihrer Vertreter zugeht.</w:t>
      </w:r>
    </w:p>
    <w:p>
      <w:r>
        <w:rPr>
          <w:color w:val="555555"/>
          <w:sz w:val="17"/>
        </w:rPr>
        <w:t xml:space="preserve">Zitiervorschlag: § 4 EBRG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https://recht.nulegal.eu/gesetze/EBRG/4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