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EBRG — Kosten, Sachaufwand und Sachverständige</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(1) Die durch die Bildung und Tätigkeit des Europäischen Betriebsrats und des Ausschusses entstehenden Kosten trägt die zentrale Leitung. Die zentrale Leitung hat insbesondere für die Sitzungen und die laufende Geschäftsführung in erforderlichem Umfang Räume, sachliche Mittel und Büropersonal, für die Sitzungen außerdem Dolmetscher zur Verfügung zu stellen. Sie trägt die erforderlichen Reise- und Aufenthaltskosten der Mitglieder des Europäischen Betriebsrats und des Ausschusses. § 16 Absatz 2 gilt entsprechend.</w:t>
      </w:r>
    </w:p>
    <w:p>
      <w:r>
        <w:t xml:space="preserve">(2) Der Europäische Betriebsrat und der Ausschuss können sich durch Sachverständige ihrer Wahl unterstützen lassen, soweit dies zur ordnungsgemäßen Erfüllung ihrer Aufgaben erforderlich ist. Sachverständige können auch Beauftragte von Gewerkschaften sein. Werden Sachverständige hinzugezogen, beschränkt sich die Kostentragungspflicht auf einen Sachverständigen, es sei denn, eine Vereinbarung nach § 18 oder § 19 sieht etwas anderes vor.</w:t>
      </w:r>
    </w:p>
    <w:p>
      <w:r>
        <w:rPr>
          <w:color w:val="555555"/>
          <w:sz w:val="17"/>
        </w:rPr>
        <w:t xml:space="preserve">Zitiervorschlag: § 39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