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EBRG — Wesentliche Strukturänderung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Ändert sich die Struktur des gemeinschaftsweit tätigen Unternehmens oder der gemeinschaftsweit tätigen Unternehmensgruppe wesentlich und bestehen hierzu keine Regelungen in geltenden Vereinbarungen oder widersprechen sich diese, nimmt die zentrale Leitung von sich aus oder auf Antrag der Arbeitnehmer oder ihrer Vertreter (§ 9 Absatz 1) die Verhandlung über eine Vereinbarung nach § 18 oder § 19 auf. Als wesentliche Strukturänderungen im Sinne des Satzes 1 gelten insbesondere</w:t>
      </w:r>
    </w:p>
    <w:p>
      <w:pPr>
        <w:ind w:left="420"/>
      </w:pPr>
      <w:r>
        <w:t xml:space="preserve">1. Zusammenschluss von Unternehmen oder Unternehmensgruppen,</w:t>
      </w:r>
    </w:p>
    <w:p>
      <w:pPr>
        <w:ind w:left="420"/>
      </w:pPr>
      <w:r>
        <w:t xml:space="preserve">2. Spaltung von Unternehmen oder der Unternehmensgruppe,</w:t>
      </w:r>
    </w:p>
    <w:p>
      <w:pPr>
        <w:ind w:left="420"/>
      </w:pPr>
      <w:r>
        <w:t xml:space="preserve">3. Verlegung von Unternehmen oder der Unternehmensgruppe in einen anderen Mitgliedstaat oder Drittstaat oder Stilllegung von Unternehmen oder der Unternehmensgruppe,</w:t>
      </w:r>
    </w:p>
    <w:p>
      <w:pPr>
        <w:ind w:left="420"/>
      </w:pPr>
      <w:r>
        <w:t xml:space="preserve">4. Verlegung oder Stilllegung von Betrieben, soweit sie Auswirkungen auf die Zusammensetzung des Europäischen Betriebsrats haben können.</w:t>
      </w:r>
    </w:p>
    <w:p>
      <w:r>
        <w:t xml:space="preserve">(2) Abweichend von § 10 entsendet jeder von der Strukturänderung betroffene Europäische Betriebsrat aus seiner Mitte drei weitere Mitglieder in das besondere Verhandlungsgremium.</w:t>
      </w:r>
    </w:p>
    <w:p>
      <w:r>
        <w:t xml:space="preserve">(3) Für die Dauer der Verhandlung bleibt jeder von der Strukturänderung betroffene Europäische Betriebsrat bis zur Errichtung eines neuen Europäischen Betriebsrats im Amt (Übergangsmandat). Mit der zentralen Leitung kann vereinbart werden, nach welchen Bestimmungen und in welcher Zusammensetzung das Übergangsmandat wahrgenommen wird. Kommt es nicht zu einer Vereinbarung mit der zentralen Leitung nach Satz 2, wird das Übergangsmandat durch den jeweiligen Europäischen Betriebsrat entsprechend der für ihn im Unternehmen oder der Unternehmensgruppe geltenden Regelung wahrgenommen. Das Übergangsmandat endet auch, wenn das besondere Verhandlungsgremium einen Beschluss nach § 15 Absatz 1 fasst.</w:t>
      </w:r>
    </w:p>
    <w:p>
      <w:r>
        <w:t xml:space="preserve">(4) Kommt es nicht zu einer Vereinbarung nach § 18 oder § 19, ist in den Fällen des § 21 Absatz 1 ein Europäischer Betriebsrat nach den §§ 22 und 23 zu errichten.</w:t>
      </w:r>
    </w:p>
    <w:p>
      <w:r>
        <w:rPr>
          <w:color w:val="555555"/>
          <w:sz w:val="17"/>
        </w:rPr>
        <w:t xml:space="preserve">Zitiervorschlag: § 37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