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35 EBRG — Geheimhaltung, Vertraulichkeit</w:t>
      </w:r>
    </w:p>
    <w:p>
      <w:r>
        <w:rPr>
          <w:color w:val="555555"/>
          <w:sz w:val="18"/>
        </w:rPr>
        <w:t xml:space="preserve">Europäische Betriebsräte-Gesetz</w:t>
      </w:r>
    </w:p>
    <w:p>
      <w:r>
        <w:rPr>
          <w:color w:val="555555"/>
          <w:sz w:val="18"/>
        </w:rPr>
        <w:t xml:space="preserve">Stand: 10.06.2019 (konsolidierte Textfassung, kein amtliches Inkrafttretensdatum)</w:t>
      </w:r>
    </w:p>
    <w:p>
      <w:r>
        <w:t xml:space="preserve">(1) Die Pflicht der zentralen Leitung, über die im Rahmen der §§ 18 und 19 vereinbarten oder die sich aus den §§ 29 und 30 Absatz 1 ergebenden Angelegenheiten zu unterrichten, besteht nur, soweit dadurch nicht Betriebs- oder Geschäftsgeheimnisse des Unternehmens oder der Unternehmensgruppe gefährdet werden.</w:t>
      </w:r>
    </w:p>
    <w:p>
      <w:r>
        <w:t xml:space="preserve">(2) Die Mitglieder und Ersatzmitglieder eines Europäischen Betriebsrats sind verpflichtet, Betriebs- oder Geschäftsgeheimnisse, die ihnen wegen ihrer Zugehörigkeit zum Europäischen Betriebsrat bekannt geworden und von der zentralen Leitung ausdrücklich als geheimhaltungsbedürftig bezeichnet worden sind, nicht zu offenbaren und nicht zu verwerten. Dies gilt auch nach dem Ausscheiden aus dem Europäischen Betriebsrat. Die Verpflichtung gilt nicht gegenüber Mitgliedern eines Europäischen Betriebsrats. Sie gilt ferner nicht gegenüber den örtlichen Arbeitnehmervertretern der Betriebe oder Unternehmen, wenn diese auf Grund einer Vereinbarung nach § 18 oder nach § 36 über den Inhalt der Unterrichtungen und die Ergebnisse der Anhörungen zu unterrichten sind, den Arbeitnehmervertretern im Aufsichtsrat sowie gegenüber Dolmetschern und Sachverständigen, die zur Unterstützung herangezogen werden.</w:t>
      </w:r>
    </w:p>
    <w:p>
      <w:r>
        <w:t xml:space="preserve">(3) Die Pflicht zur Vertraulichkeit nach Absatz 2 Satz 1 und 2 gilt entsprechend für</w:t>
      </w:r>
    </w:p>
    <w:p>
      <w:pPr>
        <w:ind w:left="420"/>
      </w:pPr>
      <w:r>
        <w:t xml:space="preserve">1. die Mitglieder und Ersatzmitglieder des besonderen Verhandlungsgremiums,</w:t>
      </w:r>
    </w:p>
    <w:p>
      <w:pPr>
        <w:ind w:left="420"/>
      </w:pPr>
      <w:r>
        <w:t xml:space="preserve">2. die Arbeitnehmervertreter im Rahmen eines Verfahrens zur Unterrichtung und Anhörung (§ 19),</w:t>
      </w:r>
    </w:p>
    <w:p>
      <w:pPr>
        <w:ind w:left="420"/>
      </w:pPr>
      <w:r>
        <w:t xml:space="preserve">3. die Sachverständigen und Dolmetscher sowie</w:t>
      </w:r>
    </w:p>
    <w:p>
      <w:pPr>
        <w:ind w:left="420"/>
      </w:pPr>
      <w:r>
        <w:t xml:space="preserve">4. die örtlichen Arbeitnehmervertreter.</w:t>
      </w:r>
    </w:p>
    <w:p>
      <w:r>
        <w:t xml:space="preserve">(4) Die Ausnahmen von der Pflicht zur Vertraulichkeit nach Absatz 2 Satz 3 und 4 gelten entsprechend für</w:t>
      </w:r>
    </w:p>
    <w:p>
      <w:pPr>
        <w:ind w:left="420"/>
      </w:pPr>
      <w:r>
        <w:t xml:space="preserve">1. das besondere Verhandlungsgremium gegenüber Sachverständigen und Dolmetschern,</w:t>
      </w:r>
    </w:p>
    <w:p>
      <w:pPr>
        <w:ind w:left="420"/>
      </w:pPr>
      <w:r>
        <w:t xml:space="preserve">2. die Arbeitnehmervertreter im Rahmen eines Verfahrens zur Unterrichtung und Anhörung gegenüber Dolmetschern und Sachverständigen, die vereinbarungsgemäß zur Unterstützung herangezogen werden, und gegenüber örtlichen Arbeitnehmervertretern, sofern diese nach der Vereinbarung (§ 19) über die Inhalte der Unterrichtungen und die Ergebnisse der Anhörungen zu unterrichten sind.</w:t>
      </w:r>
    </w:p>
    <w:p>
      <w:r>
        <w:rPr>
          <w:color w:val="555555"/>
          <w:sz w:val="17"/>
        </w:rPr>
        <w:t xml:space="preserve">Zitiervorschlag: § 35 EBRG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https://recht.nulegal.eu/gesetze/EBRG/35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