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EBRG — Sitzungen</w:t>
      </w:r>
    </w:p>
    <w:p>
      <w:r>
        <w:rPr>
          <w:color w:val="555555"/>
          <w:sz w:val="18"/>
        </w:rPr>
        <w:t xml:space="preserve">Europäische Betriebsräte-Gesetz</w:t>
      </w:r>
    </w:p>
    <w:p>
      <w:r>
        <w:rPr>
          <w:color w:val="555555"/>
          <w:sz w:val="18"/>
        </w:rPr>
        <w:t xml:space="preserve">Stand: 10.06.2019 (konsolidierte Textfassung, kein amtliches Inkrafttretensdatum)</w:t>
      </w:r>
    </w:p>
    <w:p>
      <w:r>
        <w:t xml:space="preserve">(1) Der Europäische Betriebsrat hat das Recht, im Zusammenhang mit der Unterrichtung durch die zentrale Leitung nach § 29 eine Sitzung durchzuführen und zu dieser einzuladen. Das gleiche gilt bei einer Unterrichtung über außergewöhnliche Umstände nach § 30. Der Zeitpunkt und der Ort der Sitzungen sind mit der zentralen Leitung abzustimmen. Mit Einverständnis der zentralen Leitung kann der Europäische Betriebsrat weitere Sitzungen durchführen. Die Sitzungen des Europäischen Betriebsrats sind nicht öffentlich.</w:t>
      </w:r>
    </w:p>
    <w:p>
      <w:r>
        <w:t xml:space="preserve">(2) Absatz 1 gilt entsprechend für die Wahrnehmung der Mitwirkungsrechte des Europäischen Betriebsrats durch den Ausschuss nach § 26.</w:t>
      </w:r>
    </w:p>
    <w:p>
      <w:r>
        <w:rPr>
          <w:color w:val="555555"/>
          <w:sz w:val="17"/>
        </w:rPr>
        <w:t xml:space="preserve">Zitiervorschlag: § 27 EBRG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https://recht.nulegal.eu/gesetze/EBRG/27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