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EBRG — Europäischer Betriebsrat kraft Vereinbarung</w:t>
      </w:r>
    </w:p>
    <w:p>
      <w:r>
        <w:rPr>
          <w:color w:val="555555"/>
          <w:sz w:val="18"/>
        </w:rPr>
        <w:t xml:space="preserve">Europäische Betriebsräte-Gesetz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Soll ein Europäischer Betriebsrat errichtet werden, ist schriftlich zu vereinbaren, wie dieser ausgestaltet werden soll. Dabei soll insbesondere Folgendes geregelt werden:</w:t>
      </w:r>
    </w:p>
    <w:p>
      <w:pPr>
        <w:ind w:left="420"/>
      </w:pPr>
      <w:r>
        <w:t xml:space="preserve">1. Bezeichnung der erfassten Betriebe und Unternehmen, einschließlich der außerhalb des Hoheitsgebietes der Mitgliedstaaten liegenden Niederlassungen, sofern diese in den Geltungsbereich einbezogen werden,</w:t>
      </w:r>
    </w:p>
    <w:p>
      <w:pPr>
        <w:ind w:left="420"/>
      </w:pPr>
      <w:r>
        <w:t xml:space="preserve">2. Zusammensetzung des Europäischen Betriebsrats, Anzahl der Mitglieder, Ersatzmitglieder, Sitzverteilung und Mandatsdauer,</w:t>
      </w:r>
    </w:p>
    <w:p>
      <w:pPr>
        <w:ind w:left="420"/>
      </w:pPr>
      <w:r>
        <w:t xml:space="preserve">3. Aufgaben und Befugnisse des Europäischen Betriebsrats sowie das Verfahren zu seiner Unterrichtung und Anhörung; dieses Verfahren kann auf die Beteiligungsrechte der nationalen Arbeitnehmervertretungen abgestimmt werden, soweit deren Rechte hierdurch nicht beeinträchtigt werden,</w:t>
      </w:r>
    </w:p>
    <w:p>
      <w:pPr>
        <w:ind w:left="420"/>
      </w:pPr>
      <w:r>
        <w:t xml:space="preserve">4. Ort, Häufigkeit und Dauer der Sitzungen,</w:t>
      </w:r>
    </w:p>
    <w:p>
      <w:pPr>
        <w:ind w:left="420"/>
      </w:pPr>
      <w:r>
        <w:t xml:space="preserve">5. die Einrichtung eines Ausschusses des Europäischen Betriebsrats einschließlich seiner Zusammensetzung, der Bestellung seiner Mitglieder, seiner Befugnisse und Arbeitsweise,</w:t>
      </w:r>
    </w:p>
    <w:p>
      <w:pPr>
        <w:ind w:left="420"/>
      </w:pPr>
      <w:r>
        <w:t xml:space="preserve">6. die für den Europäischen Betriebsrat zur Verfügung zu stellenden finanziellen und sachlichen Mittel,</w:t>
      </w:r>
    </w:p>
    <w:p>
      <w:pPr>
        <w:ind w:left="420"/>
      </w:pPr>
      <w:r>
        <w:t xml:space="preserve">7. Klausel zur Anpassung der Vereinbarung an Strukturänderungen, die Geltungsdauer der Vereinbarung und das bei ihrer Neuverhandlung, Änderung oder Kündigung anzuwendende Verfahren, einschließlich einer Übergangsregelung.</w:t>
      </w:r>
    </w:p>
    <w:p>
      <w:r>
        <w:t xml:space="preserve">(2) § 23 gilt entsprechend.</w:t>
      </w:r>
    </w:p>
    <w:p>
      <w:r>
        <w:rPr>
          <w:color w:val="555555"/>
          <w:sz w:val="17"/>
        </w:rPr>
        <w:t xml:space="preserve">Zitiervorschlag: § 18 EBRG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https://recht.nulegal.eu/gesetze/EBRG/18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