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EBRG — Kosten und Sachaufwand</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Die durch die Bildung und Tätigkeit des besonderen Verhandlungsgremiums entstehenden Kosten trägt die zentrale Leitung. Werden Sachverständige nach § 13 Absatz 4 hinzugezogen, beschränkt sich die Kostentragungspflicht auf einen Sachverständigen. Die zentrale Leitung hat für die Sitzungen in erforderlichem Umfang Räume, sachliche Mittel, Dolmetscher und Büropersonal zur Verfügung zu stellen sowie die erforderlichen Reise- und Aufenthaltskosten der Mitglieder des besonderen Verhandlungsgremiums zu tragen.</w:t>
      </w:r>
    </w:p>
    <w:p>
      <w:r>
        <w:t xml:space="preserve">(2) Der Arbeitgeber eines aus dem Inland entsandten Mitglieds des besonderen Verhandlungsgremiums haftet neben der zentralen Leitung für dessen Anspruch auf Kostenerstattung als Gesamtschuldner.</w:t>
      </w:r>
    </w:p>
    <w:p>
      <w:r>
        <w:rPr>
          <w:color w:val="555555"/>
          <w:sz w:val="17"/>
        </w:rPr>
        <w:t xml:space="preserve">Zitiervorschlag: § 16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