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EBRG — Zusammensetzung</w:t>
      </w:r>
    </w:p>
    <w:p>
      <w:r>
        <w:rPr>
          <w:color w:val="555555"/>
          <w:sz w:val="18"/>
        </w:rPr>
        <w:t xml:space="preserve">Europäische Betriebsräte-Gesetz</w:t>
      </w:r>
    </w:p>
    <w:p>
      <w:r>
        <w:rPr>
          <w:color w:val="555555"/>
          <w:sz w:val="18"/>
        </w:rPr>
        <w:t xml:space="preserve">Stand: 10.06.2019 (konsolidierte Textfassung, kein amtliches Inkrafttretensdatum)</w:t>
      </w:r>
    </w:p>
    <w:p>
      <w:r>
        <w:t xml:space="preserve">(1) Für jeden Anteil der in einem Mitgliedstaat beschäftigten Arbeitnehmer, der 10 Prozent der Gesamtzahl der in allen Mitgliedstaaten beschäftigten Arbeitnehmer der gemeinschaftsweit tätigen Unternehmen oder Unternehmensgruppen oder einen Bruchteil davon beträgt, wird ein Mitglied aus diesem Mitgliedstaat in das besondere Verhandlungsgremium entsandt.</w:t>
      </w:r>
    </w:p>
    <w:p>
      <w:r>
        <w:t xml:space="preserve">(2) Es können Ersatzmitglieder bestellt werden.</w:t>
      </w:r>
    </w:p>
    <w:p>
      <w:r>
        <w:rPr>
          <w:color w:val="555555"/>
          <w:sz w:val="17"/>
        </w:rPr>
        <w:t xml:space="preserve">Zitiervorschlag: § 10 EBRG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https://recht.nulegal.eu/gesetze/EBRG/10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