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EBPfSchG</w:t>
      </w:r>
    </w:p>
    <w:p>
      <w:r>
        <w:rPr>
          <w:color w:val="555555"/>
          <w:sz w:val="18"/>
        </w:rPr>
        <w:t xml:space="preserve">Gesetz, betreffend die Unzulässigkeit der Pfändung von Eisenbahnfahrbetriebsmitteln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 ... verordnen im Namen des Reichs, nach erfolgter Zustimmung des Bundesrats und des Reichstags, was folgt:</w:t>
      </w:r>
    </w:p>
    <w:p>
      <w:r>
        <w:rPr>
          <w:color w:val="555555"/>
          <w:sz w:val="17"/>
        </w:rPr>
        <w:t xml:space="preserve">Zitiervorschlag: Eingangsformel EBPfSchG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https://recht.nulegal.eu/gesetze/EBPfSchG/eingangsformel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