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EBPensNOG</w:t>
      </w:r>
    </w:p>
    <w:p>
      <w:r>
        <w:rPr>
          <w:color w:val="555555"/>
          <w:sz w:val="18"/>
        </w:rPr>
        <w:t xml:space="preserve">Gesetz zur Neuordnung der Pensionskasse Deutscher Eisenbahnen und Straßenbahnen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Gesetzes zur Regelung von Ansprüchen aus Lebens- und Rentenversicherungen in der Fassung vom 15. Juli 1959 (Bundesgesetzbl. I S. 433) finden auf die Versicherungsverhältnisse der Pensionskasse keine Anwendung.</w:t>
      </w:r>
    </w:p>
    <w:p>
      <w:r>
        <w:rPr>
          <w:color w:val="555555"/>
          <w:sz w:val="17"/>
        </w:rPr>
        <w:t xml:space="preserve">Zitiervorschlag: § 6a EBPensNOG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https://recht.nulegal.eu/gesetze/EBPensNOG/6a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