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EBPV — Bewerten der einzelnen Prüfungsleistungen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19.11.2025 (konsolidierte Textfassung, kein amtliches Inkrafttretensdatum)</w:t>
      </w:r>
    </w:p>
    <w:p>
      <w:r>
        <w:t xml:space="preserve">(1) Die einzelnen schriftlichen Arbeiten und die Leistungen in jedem Fach der mündlichen Prüfung sind nach der Anlage zu bewerten.</w:t>
      </w:r>
    </w:p>
    <w:p>
      <w:r>
        <w:t xml:space="preserve">(2) Bei der Bewertung der einzelnen Prüfungsleistungen sind neben Kenntnissen auch Form und Ausdrucksweise zu berücksichtigen.</w:t>
      </w:r>
    </w:p>
    <w:p>
      <w:r>
        <w:rPr>
          <w:color w:val="555555"/>
          <w:sz w:val="17"/>
        </w:rPr>
        <w:t xml:space="preserve">Zitiervorschlag: § 19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